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18aff3dcbea4c9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35669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VELIKO TROJSTVO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2.341.355,89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2.155.523,37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1.755.086,49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1.966.639,63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586.269,40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188.883,74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109.592,68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757.736,82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724.658,10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753.125,67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615.065,42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458.053,89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458.053,89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31.872,21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Općina Veliko Trojstvo u razdoblju od 1. siječnja do 31. prosinca 2025. godine ostvarila je ukupno prihoda poslovanja (6) u iznosu 2.155.523,37 eura, dok ukupno ostvareni rashodi poslovanja (3) iznose 1.966.639,63 eura.Najznačajnije povećanje prihoda poslovanja ostvareno je od poreza na dohodak uslijed povećanja plaća obveznika poreza na dohodak te prihoda ostvarenih od tekućih i kapitalnih pomoći od institucija i tijela EU sukladno projektima u realizaciji. Najznačajnije povećanje rashoda evidentirano je na rashodima za zaposlene uslijed dodatnog zapošljavanja 10 djelatnika na provedbi projekta Zaželi "Trojačke ruže".</w:t>
      </w:r>
    </w:p>
    <w:p>
      <w:r>
        <w:t xml:space="preserve">Ukupno ostvarenih prihoda od prodaje nefinancijske imovine (7) iznose 109.592,68 eura, dok su ukupno ostvareni rashodi za nabavu nefinancijske imovine (4) ostvareni u iznosu od 724.658,10 eura. Prihodi od prodaje nefinancijske imovine u najvećoj mjeri odnose se na prodanu ošasnu imovinu u vlasništvu Općine Veliko Trojstvo, dok se rashodi za nabavu nefinancijske imovine u najvećoj mjeri odnose na rekonstrukciju nerazvrstanih cesta.</w:t>
      </w:r>
    </w:p>
    <w:p>
      <w:r>
        <w:t xml:space="preserve">Primici od financijske imovine i zaduženja (8) ostvareni su u iznosu 458.053,89 eura, dok izdaci za financijsku imovinu i otplatu zajma (5) u izvještajnom razdoblju nisu ostvareni. Navedeni primici odnose se na dodijeljena sredstva po dugoročnom kreditu za realizaciju projekata rekonstrukcije nerazvrstanih cesta.</w:t>
      </w:r>
    </w:p>
    <w:p>
      <w:r>
        <w:t xml:space="preserve">U razdoblju od 1. siječnja do 31. prosinca 2025. ostvaren je višak prihoda poslovanja u iznosu od 188.883,74 eura, manjak prihoda od nefinancijske imovine u iznosu od 615.065,42 eura, te višak od financijske imovine i zaduženja u iznosu 458.053,89 eura slijedom čega je na kraju izvještajnog razdoblja ostvaren ukupan višak prihoda i primitaka u iznosu od 31.872,21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584.788,43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684.248,49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Prihodi od poreza - Prihodi po ovoj osnovi odnose se u najvećem iznosu na porez na dohodak od nesamostalnog rada u iznosu 666.792,46 eura. Porez na dohodak od nesamostalnog rada povećan je za 17,2%. Isto povećanje proizlazi zbog povećanja plaća obveznika poreza na dohodak s područja Općine Veliko Trojstvo. Stalni porez na nepokretnu imovinu koji se odnosi na porez na kuće za odmor i porez na nekretnine ostvaren je u iznosu od 8.827,49 eura, a znatno je veći u odnosu na prethodno izvještajno razdoblje zbog uvođenja poreza na nekretnine te većeg iznosa naknade u osnosu na prijašnji porez na kuće za odmor. Ostali prihodi ove skupine odnose se na povremeni porez na imovinu u iznosu od 56.231,73 eura (porez na nekretnine - rast navedenog prihoda odnosi se na povećan broj kupljenih nekretnina na području općine) i porez na promet u iznosu od 6.117,70 eura (porez na potrošnju alkoholnih i bezalkoholnih pića).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1.327.838,99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987.875,15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w:t>
            </w:r>
          </w:p>
        </w:tc>
      </w:tr>
    </w:tbl>
    <w:p>
      <w:pPr>
        <w:spacing w:before="0" w:after="0"/>
      </w:pPr>
    </w:p>
    <w:p>
      <w:r>
        <w:t xml:space="preserve">Pomoći iz inozemstva i od subjekata unutar općeg proračuna- Prihodi po ovoj osnovi ostvarene su u iznosu od 987.875,15 eura, a odnosi se na:</w:t>
      </w:r>
    </w:p>
    <w:p>
      <w:pPr>
        <w:pStyle w:val="ListParagraph"/>
        <w:numPr>
          <w:ilvl w:val="0"/>
          <w:numId w:val="2"/>
        </w:numPr>
      </w:pPr>
      <w:r>
        <w:t xml:space="preserve">Tekuće pomoći proračunu iz drugih proračuna i izvanproračunskih korisnika (6331) u iznosu od 132.534,16 eura, odnose se na prihode ostvarene od fiskalne održivosti dječjeg vrtića u iznosu 83.976,00 eura, 15% ostvarenih prihoda projekta Zaželi „Trojačke ruže“ u iznosu 22.178,80 eura, sredstva za funkcionalno spajanje JLS - komunalni redar u iznosu 4.053,06 eura, prenesenih sredstava za rad biračkih odbora za izbor predsjednika RH u iznosu 17.798,11 eura i sredstva isplaćena za elementarnu nepogodu u iznosu 4.528,19 eura.</w:t>
      </w:r>
    </w:p>
    <w:p>
      <w:pPr>
        <w:pStyle w:val="ListParagraph"/>
        <w:numPr>
          <w:ilvl w:val="0"/>
          <w:numId w:val="2"/>
        </w:numPr>
      </w:pPr>
      <w:r>
        <w:t xml:space="preserve">Kapitalne pomoći proračunu i izvanproračunskim korisnicima iz drugih proračuna (6332) u iznosu 165.529,03 eura, odnose se na sredstva Ministarstva graditeljstva i prostornog uređenja - Rekonstrukcija nerazvrstane ceste "Vinogradska I prema groblju" u iznosu 46.400,00 eura, dodijeljena sredstva za rekonstrukciju nerazvrstane ceste "Veliko Trojstvo - Martinac" i građenje pješačke staze u iznosu 70.000,00 eura, te dodijeljena sredstva za uređenje i opremanje igrališta kod vidikovca u Velikom Trojstvu u iznosu 49.129,03 eura.</w:t>
      </w:r>
    </w:p>
    <w:p>
      <w:pPr>
        <w:pStyle w:val="ListParagraph"/>
        <w:numPr>
          <w:ilvl w:val="0"/>
          <w:numId w:val="2"/>
        </w:numPr>
      </w:pPr>
      <w:r>
        <w:t xml:space="preserve">Tekuće pomoći od izvanproračunskih korisnika (6341) u iznosu od 3.800,00 eura, odnose se na dodijeljena sredstva Turističke zajednice za provedbu manifestacija "Jesen na Bilogori" i "Etno festival"</w:t>
      </w:r>
    </w:p>
    <w:p>
      <w:pPr>
        <w:pStyle w:val="ListParagraph"/>
        <w:numPr>
          <w:ilvl w:val="0"/>
          <w:numId w:val="2"/>
        </w:numPr>
      </w:pPr>
      <w:r>
        <w:t xml:space="preserve">Pomoći fiskalnog izravnanja (6353) u iznosu od 556.390,08 eura.</w:t>
      </w:r>
    </w:p>
    <w:p>
      <w:pPr>
        <w:pStyle w:val="ListParagraph"/>
        <w:numPr>
          <w:ilvl w:val="0"/>
          <w:numId w:val="2"/>
        </w:numPr>
      </w:pPr>
      <w:r>
        <w:t xml:space="preserve">Tekuće pomoći temeljem prijenosa EU sredstava (6381), odnose se na 85% ostvarenih prihoda projekta Zaželi „Trojačke ruže“ u iznosu 125.679,98 eura.</w:t>
      </w:r>
    </w:p>
    <w:p>
      <w:pPr>
        <w:pStyle w:val="ListParagraph"/>
        <w:numPr>
          <w:ilvl w:val="0"/>
          <w:numId w:val="2"/>
        </w:numPr>
      </w:pPr>
      <w:r>
        <w:t xml:space="preserve">Kapitalne pomoći temeljem prijenosa EU sredstava (6382) odnose se na 3.941,90 eura doznačenih sredstava za  ITU - Revitalizacija etnografskog muzeja.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256.670,71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w:t>
            </w:r>
          </w:p>
        </w:tc>
      </w:tr>
    </w:tbl>
    <w:p>
      <w:pPr>
        <w:spacing w:before="0" w:after="0"/>
      </w:pPr>
    </w:p>
    <w:p>
      <w:r>
        <w:t xml:space="preserve">Prihod od imovine – Prihodi po ovoj osnovi ostvareni su u iznosu od 233.692,78 eura, a odnose se na:</w:t>
      </w:r>
    </w:p>
    <w:p>
      <w:pPr>
        <w:pStyle w:val="ListParagraph"/>
        <w:numPr>
          <w:ilvl w:val="0"/>
          <w:numId w:val="2"/>
        </w:numPr>
      </w:pPr>
      <w:r>
        <w:t xml:space="preserve">Naknade za otkopanu količinu mineralnih sirovina (nafta i  plinske rente) u iznosu od 216.142,51 eura</w:t>
      </w:r>
    </w:p>
    <w:p>
      <w:pPr>
        <w:pStyle w:val="ListParagraph"/>
        <w:numPr>
          <w:ilvl w:val="0"/>
          <w:numId w:val="2"/>
        </w:numPr>
      </w:pPr>
      <w:r>
        <w:t xml:space="preserve">Spomeničku rentu u iznosu od 1,65 eura</w:t>
      </w:r>
    </w:p>
    <w:p>
      <w:pPr>
        <w:pStyle w:val="ListParagraph"/>
        <w:numPr>
          <w:ilvl w:val="0"/>
          <w:numId w:val="2"/>
        </w:numPr>
      </w:pPr>
      <w:r>
        <w:t xml:space="preserve">Pravo služnosti – HAKOM i INA d.d. u iznosu 17.548,62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144.333,15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227.556,47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w:t>
            </w:r>
          </w:p>
        </w:tc>
      </w:tr>
    </w:tbl>
    <w:p>
      <w:pPr>
        <w:spacing w:before="0" w:after="0"/>
      </w:pPr>
    </w:p>
    <w:p>
      <w:r>
        <w:t xml:space="preserve">Prihod od upravnih i administrativnih pristojbi, pristojbi po posebnim propisima i naknada – Prihodi  po ovoj osnovi ostvareni su u iznosu od 227.556,47 eura te su u odnosu na prethodno razdoblje veći za 57,7%, a odnose se na:</w:t>
      </w:r>
    </w:p>
    <w:p>
      <w:pPr>
        <w:pStyle w:val="ListParagraph"/>
        <w:numPr>
          <w:ilvl w:val="0"/>
          <w:numId w:val="2"/>
        </w:numPr>
      </w:pPr>
      <w:r>
        <w:t xml:space="preserve">Prihod od prodaje državnih biljega u iznosu 7,76 eura</w:t>
      </w:r>
    </w:p>
    <w:p>
      <w:pPr>
        <w:pStyle w:val="ListParagraph"/>
        <w:numPr>
          <w:ilvl w:val="0"/>
          <w:numId w:val="2"/>
        </w:numPr>
      </w:pPr>
      <w:r>
        <w:t xml:space="preserve">Turistička pristojba u iznosu 657,39 eura</w:t>
      </w:r>
    </w:p>
    <w:p>
      <w:pPr>
        <w:pStyle w:val="ListParagraph"/>
        <w:numPr>
          <w:ilvl w:val="0"/>
          <w:numId w:val="2"/>
        </w:numPr>
      </w:pPr>
      <w:r>
        <w:t xml:space="preserve">Prenamjena poljop. u građ. zemljište u iznosu 1,40 eura</w:t>
      </w:r>
    </w:p>
    <w:p>
      <w:pPr>
        <w:pStyle w:val="ListParagraph"/>
        <w:numPr>
          <w:ilvl w:val="0"/>
          <w:numId w:val="2"/>
        </w:numPr>
      </w:pPr>
      <w:r>
        <w:t xml:space="preserve">Vodni doprinos u iznosu od 12,74 eura</w:t>
      </w:r>
    </w:p>
    <w:p>
      <w:pPr>
        <w:pStyle w:val="ListParagraph"/>
        <w:numPr>
          <w:ilvl w:val="0"/>
          <w:numId w:val="2"/>
        </w:numPr>
      </w:pPr>
      <w:r>
        <w:t xml:space="preserve">Šumski doprinos u iznosu od 92.451,98 eura</w:t>
      </w:r>
    </w:p>
    <w:p>
      <w:pPr>
        <w:pStyle w:val="ListParagraph"/>
        <w:numPr>
          <w:ilvl w:val="0"/>
          <w:numId w:val="2"/>
        </w:numPr>
      </w:pPr>
      <w:r>
        <w:t xml:space="preserve">Ostale nespomenute prihode po posebnim propisima (grobna naknada) u iznosu od 18.670,03 eura</w:t>
      </w:r>
    </w:p>
    <w:p>
      <w:pPr>
        <w:pStyle w:val="ListParagraph"/>
        <w:numPr>
          <w:ilvl w:val="0"/>
          <w:numId w:val="2"/>
        </w:numPr>
      </w:pPr>
      <w:r>
        <w:t xml:space="preserve">Komunalni doprinos u iznosu 2.868,88 eura</w:t>
      </w:r>
    </w:p>
    <w:p>
      <w:pPr>
        <w:pStyle w:val="ListParagraph"/>
        <w:numPr>
          <w:ilvl w:val="0"/>
          <w:numId w:val="2"/>
        </w:numPr>
      </w:pPr>
      <w:r>
        <w:t xml:space="preserve">Komunalnu naknadu u iznosu od 104.696,29 eura</w:t>
      </w:r>
    </w:p>
    <w:p>
      <w:pPr>
        <w:pStyle w:val="ListParagraph"/>
        <w:numPr>
          <w:ilvl w:val="0"/>
          <w:numId w:val="2"/>
        </w:numPr>
      </w:pPr>
      <w:r>
        <w:t xml:space="preserve">Naknade za priključak (plin) u iznosu od 8.190,00 eura.</w:t>
      </w:r>
    </w:p>
    <w:p>
      <w:r>
        <w:t xml:space="preserve">Prihodi navedene skupine u najvećoj mjeri povećali su se zbog više doznačenih sredstava od šumskog doprinosa.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24.098,34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19.612,98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r>
        <w:t xml:space="preserve">Prihodi od prodaje proizvoda, robe te pruženih usluga – Prihodi po ovoj osnovi ostvareni su u iznosu od 19.612,98 eura. Prihodi ove skupine odnosi se na:</w:t>
      </w:r>
    </w:p>
    <w:p>
      <w:pPr>
        <w:pStyle w:val="ListParagraph"/>
        <w:numPr>
          <w:ilvl w:val="0"/>
          <w:numId w:val="2"/>
        </w:numPr>
      </w:pPr>
      <w:r>
        <w:t xml:space="preserve">Prihod od prodaje proizvoda i robe (električna energija – solari) u iznosu od 542,36 eura</w:t>
      </w:r>
    </w:p>
    <w:p>
      <w:pPr>
        <w:pStyle w:val="ListParagraph"/>
        <w:numPr>
          <w:ilvl w:val="0"/>
          <w:numId w:val="2"/>
        </w:numPr>
      </w:pPr>
      <w:r>
        <w:t xml:space="preserve">Usluga na grobljima u iznosu od 3.423,91 eura</w:t>
      </w:r>
    </w:p>
    <w:p>
      <w:pPr>
        <w:pStyle w:val="ListParagraph"/>
        <w:numPr>
          <w:ilvl w:val="0"/>
          <w:numId w:val="2"/>
        </w:numPr>
      </w:pPr>
      <w:r>
        <w:t xml:space="preserve">Usluga iznajmljivanja poslovnog prostora u iznosu od 5.615,48 eura</w:t>
      </w:r>
    </w:p>
    <w:p>
      <w:pPr>
        <w:pStyle w:val="ListParagraph"/>
        <w:numPr>
          <w:ilvl w:val="0"/>
          <w:numId w:val="2"/>
        </w:numPr>
      </w:pPr>
      <w:r>
        <w:t xml:space="preserve">Usluga rada komunalnog stroja u iznosu od 5.713,35 eura</w:t>
      </w:r>
    </w:p>
    <w:p>
      <w:pPr>
        <w:pStyle w:val="ListParagraph"/>
        <w:numPr>
          <w:ilvl w:val="0"/>
          <w:numId w:val="2"/>
        </w:numPr>
      </w:pPr>
      <w:r>
        <w:t xml:space="preserve">Usluga čišćenja poslovnog prostora u iznosu 294,64 eura</w:t>
      </w:r>
    </w:p>
    <w:p>
      <w:pPr>
        <w:pStyle w:val="ListParagraph"/>
        <w:numPr>
          <w:ilvl w:val="0"/>
          <w:numId w:val="2"/>
        </w:numPr>
      </w:pPr>
      <w:r>
        <w:t xml:space="preserve">Usluge naplate NUV-a u iznosu od 3.463,01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w:t>
            </w:r>
          </w:p>
        </w:tc>
      </w:tr>
    </w:tbl>
    <w:p>
      <w:pPr>
        <w:spacing w:before="0" w:after="0"/>
      </w:pPr>
    </w:p>
    <w:p>
      <w:r>
        <w:t xml:space="preserve">Kazne, upravne mjere i ostali prihodi – Prihodi po ovoj osnovi ostvareni su u iznosu od 2.537,50 eura, a odnose se na naplaćene kazne od strane komunalnog redara u iznosu 39,84 eura te sredstva dožnačena od ošasne imovine po bankovnim računima u iznosu 2.497,66 eura.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260.411,13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412.369,78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w:t>
            </w:r>
          </w:p>
        </w:tc>
      </w:tr>
    </w:tbl>
    <w:p>
      <w:pPr>
        <w:spacing w:before="0" w:after="0"/>
      </w:pPr>
    </w:p>
    <w:p>
      <w:r>
        <w:t xml:space="preserve">Rashodi za zaposlene – Rashodi po ovoj osnovi ostvareni su u iznosu 412.369,78 eura, što je u odnosu na prethodno izvještajno razdoblje za 58,4% više. Razlog povećanja odnosi se na plaće deset zaposlenih žena na projektu „Zaželi – Trojačke ruže pomoć starijim osobama“ koji se prethodno izvještajno razdoblje nije provodio.</w:t>
      </w:r>
    </w:p>
    <w:p>
      <w:pPr>
        <w:pStyle w:val="ListParagraph"/>
        <w:numPr>
          <w:ilvl w:val="0"/>
          <w:numId w:val="2"/>
        </w:numPr>
      </w:pPr>
      <w:r>
        <w:t xml:space="preserve">Bruto plaće (311) u iznosu od 334.880,99 eura, odnose se na plaće službenika i namještenika Jedinstvenog upravnog odjela, na plaću načelnika koji svoju dužnost obavlja profesionalno i deset zaposlenih žena na projektu „Zaželi – Trojačke ruže pomoć starijim osobama“.</w:t>
      </w:r>
    </w:p>
    <w:p>
      <w:pPr>
        <w:pStyle w:val="ListParagraph"/>
        <w:numPr>
          <w:ilvl w:val="0"/>
          <w:numId w:val="2"/>
        </w:numPr>
      </w:pPr>
      <w:r>
        <w:t xml:space="preserve">Ostali rashodi za zaposlene (312),  iznose 22.233,44 eura (naknada za topli obrok, Uskrsnica, regres i Božićnica).</w:t>
      </w:r>
    </w:p>
    <w:p>
      <w:pPr>
        <w:pStyle w:val="ListParagraph"/>
        <w:numPr>
          <w:ilvl w:val="0"/>
          <w:numId w:val="2"/>
        </w:numPr>
      </w:pPr>
      <w:r>
        <w:t xml:space="preserve">Doprinosi na plaće svih zaposlenika (313), iznose 55.255,35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817.223,07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533.102,89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w:t>
            </w:r>
          </w:p>
        </w:tc>
      </w:tr>
    </w:tbl>
    <w:p>
      <w:pPr>
        <w:spacing w:before="0" w:after="0"/>
      </w:pPr>
    </w:p>
    <w:p>
      <w:r>
        <w:t xml:space="preserve">Materijalni rashodi - Rashodi po ovoj osnovi ostvareni su u iznosu 533.102,89 eura te se odnose na rashode redovnog poslovanja Općine Veliko Trojstvo (naknade troškova zaposlenima, režijski troškovi, materijal i usluge za tekuće i investicijsko održavanje, veterinarske usluge (psi lutalice), zakup i najam te ostale intelektualne usluge). Navedena skupina rashoda znatno je smanjena u odnosu na izvještajno razdoblje prethodne godine zbog manjeg ulaganja u tekuće i investicijsko održavanje građevinskih objekata u vlasništvu Općine.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bl>
    <w:p>
      <w:pPr>
        <w:spacing w:before="0" w:after="0"/>
      </w:pPr>
    </w:p>
    <w:p>
      <w:r>
        <w:t xml:space="preserve">Financijski rashodi – Rashodi po ovoj osnovi ostvareni su u iznosu 8.024,12 eura, a odnose se na bankarske usluge u iznosu 4.237,76 eura i kamate na dugoročni kredit u iznosu 3.786,36 eura.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103.045,71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Subvencije – Rashodi po ovoj osnovi ostvareni su u iznosu 103.045,71 eura. Na subvencije poljoprivrednicima kojima je cilj očuvanje i povećanje poljoprivredne proizvodnje i povećanje zaposlenosti odnosi se iznos od 18.282,10 eura, na subvencije obrtnicima odnose se iznos od 29.988,11 eura, a na subvenciju smještaja djece u dječjim vrtićima, srednjim školama i sufinanciranje terapija za djecu s poteškoćama odnosi se iznos od 54.775,50 eura.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294.923,07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636.118,06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w:t>
            </w:r>
          </w:p>
        </w:tc>
      </w:tr>
    </w:tbl>
    <w:p>
      <w:pPr>
        <w:spacing w:before="0" w:after="0"/>
      </w:pPr>
    </w:p>
    <w:p>
      <w:r>
        <w:t xml:space="preserve">Pomoći dane u inozemstvo i unutar općeg proračuna – Rashodi po ovoj osnovi odnose se na tekuće pomoći proračunskim korisnicima drugih proračuna, odnosno sufinanciranje produženog boravka u Osnovnoj školi Veliko Trojstvo u iznosu 12.841,92 eura. Najveći porast ove skupine rashoda odnosi se na prijenos sredstava proračunskim korisnicima iz nadležnog proračuna u iznosu od 258.245,49 eura. Navedeno se odnosi na prijenos sredstava proračunskom korisniku Dječji vrtić Veliko Trojstvo. Na sufinanciranje plaće komunalnog redara odnosi se iznos od 6.779,93 eura, a na izvanredno održavanje ŽC3027 (ulica Mišulinovac i ulica Braće Radić) po Sporazumu ŽUC-BBŽ odnosi se iznos od 358.250,72 eura.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129.908,95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102.077,82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w:t>
            </w:r>
          </w:p>
        </w:tc>
      </w:tr>
    </w:tbl>
    <w:p>
      <w:pPr>
        <w:spacing w:before="0" w:after="0"/>
      </w:pPr>
    </w:p>
    <w:p>
      <w:r>
        <w:t xml:space="preserve">Naknade građanima i kućanstvima – Rashodi po ovoj osnovi iznose 102.077,82 eura i u usporedbi s prethodnim izvještajnim razdobljem bilježe smanjenje od 21,4%, a odnose se na:</w:t>
      </w:r>
    </w:p>
    <w:p>
      <w:pPr>
        <w:pStyle w:val="ListParagraph"/>
        <w:numPr>
          <w:ilvl w:val="0"/>
          <w:numId w:val="2"/>
        </w:numPr>
      </w:pPr>
      <w:r>
        <w:t xml:space="preserve">Jednokratne novčane pomoći za novorođeno dijete</w:t>
      </w:r>
    </w:p>
    <w:p>
      <w:pPr>
        <w:pStyle w:val="ListParagraph"/>
        <w:numPr>
          <w:ilvl w:val="0"/>
          <w:numId w:val="2"/>
        </w:numPr>
      </w:pPr>
      <w:r>
        <w:t xml:space="preserve">Sufinanciranje prijevoza učenika</w:t>
      </w:r>
    </w:p>
    <w:p>
      <w:pPr>
        <w:pStyle w:val="ListParagraph"/>
        <w:numPr>
          <w:ilvl w:val="0"/>
          <w:numId w:val="2"/>
        </w:numPr>
      </w:pPr>
      <w:r>
        <w:t xml:space="preserve">Sufinanciranje cijene smještaja u učeničke domove</w:t>
      </w:r>
    </w:p>
    <w:p>
      <w:pPr>
        <w:pStyle w:val="ListParagraph"/>
        <w:numPr>
          <w:ilvl w:val="0"/>
          <w:numId w:val="2"/>
        </w:numPr>
      </w:pPr>
      <w:r>
        <w:t xml:space="preserve">Jednokratne novčane pomoći samcima i kućanstvima</w:t>
      </w:r>
    </w:p>
    <w:p>
      <w:pPr>
        <w:pStyle w:val="ListParagraph"/>
        <w:numPr>
          <w:ilvl w:val="0"/>
          <w:numId w:val="2"/>
        </w:numPr>
      </w:pPr>
      <w:r>
        <w:t xml:space="preserve">Jednokratne novčane pomoći studentima</w:t>
      </w:r>
    </w:p>
    <w:p>
      <w:pPr>
        <w:pStyle w:val="ListParagraph"/>
        <w:numPr>
          <w:ilvl w:val="0"/>
          <w:numId w:val="2"/>
        </w:numPr>
      </w:pPr>
      <w:r>
        <w:t xml:space="preserve">Jednokratne novčane pomoći umirovljenicima</w:t>
      </w:r>
    </w:p>
    <w:p>
      <w:pPr>
        <w:pStyle w:val="ListParagraph"/>
        <w:numPr>
          <w:ilvl w:val="0"/>
          <w:numId w:val="2"/>
        </w:numPr>
      </w:pPr>
      <w:r>
        <w:t xml:space="preserve">Ostale pomoći građanima i kućanstvima u naravi.</w:t>
      </w:r>
    </w:p>
    <w:p>
      <w:r>
        <w:t xml:space="preserve">Navedana skupina rashoda bilježi povećanje zbog većeg broja podnesenih prijava za potpore te uslijed povećanja iznosa sufinanciranja i dodjeljenih potpora.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152.697,71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171.901,25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r>
        <w:t xml:space="preserve">Ostali rashodi – Rashodi po ovoj osnovi ostvareni su u iznosu od 171.901,25 eura.</w:t>
      </w:r>
    </w:p>
    <w:p>
      <w:pPr>
        <w:pStyle w:val="ListParagraph"/>
        <w:numPr>
          <w:ilvl w:val="0"/>
          <w:numId w:val="2"/>
        </w:numPr>
      </w:pPr>
      <w:r>
        <w:t xml:space="preserve">Tekuće donacije u novcu (3811) u iznosu od 162.590,79 eura odnose se na: Ostale udruge za razvoj socijalnih usluga usmjerenih na osobe s invaliditetom, djecu i njihove obitelji te starije osobe, Razvoj civilnog društva na području turizma i poljoprivrede, Poticanje kulturnih aktivnosti, Razvoj civilnog društva na području zdravstva i socijalne skrbi – skrb o umirovljenicima,  Unaprjeđenje i poticanje rasta braniteljskih udruga, Političke stranke, Razvoj sporta i rekreacije, Organizaciji i provođenju zaštite i spašavanja – VZO, HGSS i Civilna zaštita, Donacije vjerskim zajednicama.</w:t>
      </w:r>
    </w:p>
    <w:p>
      <w:pPr>
        <w:pStyle w:val="ListParagraph"/>
        <w:numPr>
          <w:ilvl w:val="0"/>
          <w:numId w:val="2"/>
        </w:numPr>
      </w:pPr>
      <w:r>
        <w:t xml:space="preserve">Kapitalne donacije neprofitnim organizacijama (3821) u iznosu 9.310,46 eura odnose se na donaciju vjerskim zajednicama za rekonstrukciju i obnovu sakralnih objekata.  Rashodi navedene skupine znatno su veći u usporedbi na prethodno izvještajno razdoblje, a razlog tome je priznavanje troškova sukladno novom Pravilniku u izvještajnom razdoblju potpisanih ugovora o dodjeli financijskih sredstava udrugama/projektima sukladno Javnom pozivu te većem iznosu dodijeljenih potpora.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643.872,24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477.015,97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w:t>
            </w:r>
          </w:p>
        </w:tc>
      </w:tr>
    </w:tbl>
    <w:p>
      <w:pPr>
        <w:spacing w:before="0" w:after="0"/>
      </w:pPr>
    </w:p>
    <w:p>
      <w:r>
        <w:t xml:space="preserve">Proračunom Općine Veliko Trojstvo za 2024. godinu prema bilanci na dan 31.12.2024. godine utvrđen je rezultat kako slijedi: višak prihoda poslovanje (razlika računa skupine 6 i 3) u iznosu 586.269,40 eura, manjak prihoda od nefinancijske imovine (skupina 7 i 4) u iznosu 753.125,67 eura i preneseni višak prihoda poslovanja iz 2023. godine u iznosu 643.872,24 eura. Višak prihoda poslovanja ostvaren u 2024. godini u iznosu od 586.269,40 eura i preneseni višak prihoda poslovanja iz 2023. godine u iznosu 643.872,24 eura prenosi se za pokriće manjka prihoda od nefinancijske imovine iz 2024. godine u iznosu 753.125,67 eura. Višak prihoda na dan 31. prosinca 2024. godine iznosi 477.015,97 eura i kao takav je evidentiran u knjigovodstvenoj evidenciji za 2025. godinu.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92.088,46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2242,2</w:t>
            </w:r>
          </w:p>
        </w:tc>
      </w:tr>
    </w:tbl>
    <w:p>
      <w:pPr>
        <w:spacing w:before="0" w:after="0"/>
      </w:pPr>
    </w:p>
    <w:p>
      <w:r>
        <w:t xml:space="preserve">Prihodi od prodaje neproizvedene dugotrajne imovine- Prihodi po ovoj osnovi ostvareni su u iznosu od 92.088,46 eura, a odnose se na prihode od prodaje ošasne imovine odnosno, poljoprivrednog i šumskog zemljišta u vlasništvu Općine Veliko Trojstvo.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3472,0</w:t>
            </w:r>
          </w:p>
        </w:tc>
      </w:tr>
    </w:tbl>
    <w:p>
      <w:pPr>
        <w:spacing w:before="0" w:after="0"/>
      </w:pPr>
    </w:p>
    <w:p>
      <w:r>
        <w:t xml:space="preserve">Prihodi od prodaje proizvedene dugotrajne imovine –  Prihodi po ovoj osnovi ostvareni su u iznosu od 17.504,22 eura, a odnose se na prihod od prodaje stanova i prodaju ošasne imovine (stambenih objekata) u vlasništvu Općine Veliko Trojstvo.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za nabavu neproizvedene dugotrajne imovine - Rashodi po ovoj osnovi iznose 543,00 eura, a u cjelokupnom iznosu odnose se na kupoprodaju zemljišta za sportsko igralište u naselju Ćurlovac.</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738.070,57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724.115,10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w:t>
            </w:r>
          </w:p>
        </w:tc>
      </w:tr>
    </w:tbl>
    <w:p>
      <w:pPr>
        <w:spacing w:before="0" w:after="0"/>
      </w:pPr>
    </w:p>
    <w:p>
      <w:r>
        <w:t xml:space="preserve">Rashodi za nabavu proizvedene dugotrajne imovine – Rashodi po ovoj osnovi iznose 724.115,10 eura. Rashodi navedene skupine raspodjeljuju se kako slijedi:</w:t>
      </w:r>
    </w:p>
    <w:p>
      <w:pPr>
        <w:pStyle w:val="ListParagraph"/>
        <w:numPr>
          <w:ilvl w:val="0"/>
          <w:numId w:val="2"/>
        </w:numPr>
      </w:pPr>
      <w:r>
        <w:t xml:space="preserve">Građevinski objekti (421) ostvareni su u iznosu 715.087,10 eura, a u iznosu od 19.819,34 eura odnose se na provedbu projekta "Revitalizacija etnografskog muzeja IP.3.1.03.0001.", u iznosu od  638.920,16 eura na rekonstukciju i modernizaciju nerazvrstanih cesta (NC Vinogradska I-odvojak groblje i NC Veliko Trojstvo-Martinac), na priključke na plinovodni sustav u iznosu 1.759,79 eura i na uređenje i opremanje dječjeg igrališta kod vidikovca u Velikom Trojstvu u iznosu od 54.587,81 eura.</w:t>
      </w:r>
    </w:p>
    <w:p>
      <w:pPr>
        <w:pStyle w:val="ListParagraph"/>
        <w:numPr>
          <w:ilvl w:val="0"/>
          <w:numId w:val="2"/>
        </w:numPr>
      </w:pPr>
      <w:r>
        <w:t xml:space="preserve">Postojenja i oprema (422) iznosi 9.028,00 eura, a odnosi se na nabavu komunalne opreme (malčer i posipač).</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458.053,89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Općine Veliko Trojstvo u 2025. godini ugovorila je dugoročniinvesticijski kredit kod Erste&amp;Steiermärkische bank d.d. Rijeka u iznosu 560.000,00 eura za financiranje projekata: Rekonstrukcija nerazvrstane ceste "Veliko Trojstvo - Martinac" i građenje pješačke staze i Rekonstrukcija nerazvrstane ceste Vinogradska I (prema groblju) i pješačke staze. Sukladno provedenim investicijama i potrebama za novčanim sredstvima iskorišteni iznos kredita na kraju proračunske godine iznosi 458.053,89 eura. </w:t>
      </w:r>
      <w:r>
        <w:br/>
      </w:r>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5.231.977,75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6.062.428,15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Vrijednost nefinancijske imovine na dan 31. prosinca iznosi 6.062.428,15 eura, a povećanje vrijednosti od 15,9% odnosi se na:</w:t>
      </w:r>
    </w:p>
    <w:p>
      <w:pPr>
        <w:pStyle w:val="ListParagraph"/>
        <w:numPr>
          <w:ilvl w:val="0"/>
          <w:numId w:val="2"/>
        </w:numPr>
      </w:pPr>
      <w:r>
        <w:t xml:space="preserve">Kupoprodaju zemljišta za sport i rekreaciju u naselju Ćurlovac</w:t>
      </w:r>
    </w:p>
    <w:p>
      <w:pPr>
        <w:pStyle w:val="ListParagraph"/>
        <w:numPr>
          <w:ilvl w:val="0"/>
          <w:numId w:val="2"/>
        </w:numPr>
      </w:pPr>
      <w:r>
        <w:t xml:space="preserve">Provedbu projekta "Revitalizacija etnografskog muzeja IP.3.1.03.0001." </w:t>
      </w:r>
    </w:p>
    <w:p>
      <w:pPr>
        <w:pStyle w:val="ListParagraph"/>
        <w:numPr>
          <w:ilvl w:val="0"/>
          <w:numId w:val="2"/>
        </w:numPr>
      </w:pPr>
      <w:r>
        <w:t xml:space="preserve">Rekonstrukciju NC Veliko Trojstvo - Martinac  i NC Vinogradska I (prema gorblju)</w:t>
      </w:r>
    </w:p>
    <w:p>
      <w:pPr>
        <w:pStyle w:val="ListParagraph"/>
        <w:numPr>
          <w:ilvl w:val="0"/>
          <w:numId w:val="2"/>
        </w:numPr>
      </w:pPr>
      <w:r>
        <w:t xml:space="preserve">Izradu priključaka na plinovod</w:t>
      </w:r>
    </w:p>
    <w:p>
      <w:pPr>
        <w:pStyle w:val="ListParagraph"/>
        <w:numPr>
          <w:ilvl w:val="0"/>
          <w:numId w:val="2"/>
        </w:numPr>
      </w:pPr>
      <w:r>
        <w:t xml:space="preserve">Uređenje i opremanje dječjeg igrališta kod vidikovca u Velikom Trojstvu  </w:t>
      </w:r>
    </w:p>
    <w:p>
      <w:pPr>
        <w:pStyle w:val="ListParagraph"/>
        <w:numPr>
          <w:ilvl w:val="0"/>
          <w:numId w:val="2"/>
        </w:numPr>
      </w:pPr>
      <w:r>
        <w:t xml:space="preserve">Nabavu komunalne opreme (malčer, posipač)</w:t>
      </w:r>
    </w:p>
    <w:p>
      <w:pPr>
        <w:pStyle w:val="ListParagraph"/>
        <w:numPr>
          <w:ilvl w:val="0"/>
          <w:numId w:val="2"/>
        </w:numPr>
      </w:pPr>
      <w:r>
        <w:t xml:space="preserve">Naknadno evidentiranje nerazvrstanih cesta sukladno provedenom popisu i procjeni inventurnog povjerenstva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722.552,18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821.358,45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r>
        <w:t xml:space="preserve">Financijska imovina – stanje od 821.358,45 eura odnosi se na novac u banci i blagajni na kraju razdoblja (11) u iznosu od 647.684,89 eura, na naknade koje se refundiraju (129) u iznosu od 29.136,63 eura, na dionice (15) u iznosu od 6.636,14 eura, na potraživanja za prihode poslovanja (16) u iznosu od 137.582,41 eura, te na potraživanja od prodaje nefinancijske imovine (17) u iznosu od 21,15 eura. </w:t>
      </w:r>
    </w:p>
    <w:p>
      <w:r>
        <w:t xml:space="preserve">Potraživanja za naknade koje se refundiraju (129) povećana su za 15,9% zbog povećanja potraživanja prema Komunalijama vodovod d.o.o. Povećanje potraživanja za prihoda poslovanja (16) u iznosu 197,5% u najvećoj mjeri odnosi se na promjenu računovodstvenog evidentiranja potraživanja sukladno Pravilniku, odnosno evientiranje potraivanja za pomoći proračunu iz drugih proračuna. </w:t>
      </w:r>
    </w:p>
    <w:p>
      <w:r>
        <w:t xml:space="preserve">Potraživanja s čijom se naplatom kasni duže od dvije godine, odnosno vrijednost potraživanja u iznosu od 32.873,12 eura ispravljeno je po stopi od 100 %.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192.631,51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626.738,96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325,4</w:t>
            </w:r>
          </w:p>
        </w:tc>
      </w:tr>
    </w:tbl>
    <w:p>
      <w:pPr>
        <w:spacing w:before="0" w:after="0"/>
      </w:pPr>
    </w:p>
    <w:p>
      <w:r>
        <w:t xml:space="preserve">Ukupna vrijednost obveza na dan 31. prisinac iznosi 626.738,96 eura. Dospjeli iznos obveza iznosi 1.106,84 eura, dok nedospjele obveze iznose 625.632,12 eura.</w:t>
      </w:r>
    </w:p>
    <w:p>
      <w:pPr>
        <w:pStyle w:val="ListParagraph"/>
        <w:numPr>
          <w:ilvl w:val="0"/>
          <w:numId w:val="2"/>
        </w:numPr>
      </w:pPr>
      <w:r>
        <w:t xml:space="preserve">Obveze za zaposlene povećane su za 23,2% iz razloga što je u izvještajnom razdoblju zaposleno dodatnih 10 gerontodomaćica na projektu Zaželi – „Trojačke ruže – pomoć starijim osobama“ i dodatno je rasla naknada plaće.</w:t>
      </w:r>
    </w:p>
    <w:p>
      <w:pPr>
        <w:pStyle w:val="ListParagraph"/>
        <w:numPr>
          <w:ilvl w:val="0"/>
          <w:numId w:val="2"/>
        </w:numPr>
      </w:pPr>
      <w:r>
        <w:t xml:space="preserve">Značajno smanjenje obveza za materijalne rashode u najvećoj mjeri odnosi se na smanjeno tekuće i investicijsko ulaganje u održavanja građevinskih objekata.</w:t>
      </w:r>
    </w:p>
    <w:p>
      <w:pPr>
        <w:pStyle w:val="ListParagraph"/>
        <w:numPr>
          <w:ilvl w:val="0"/>
          <w:numId w:val="2"/>
        </w:numPr>
      </w:pPr>
      <w:r>
        <w:t xml:space="preserve">Obveze za subvencije odnose se na sufinanciranje usluge dječjeg vrtića prema Ugovorima za prosinac.</w:t>
      </w:r>
    </w:p>
    <w:p>
      <w:pPr>
        <w:pStyle w:val="ListParagraph"/>
        <w:numPr>
          <w:ilvl w:val="0"/>
          <w:numId w:val="2"/>
        </w:numPr>
      </w:pPr>
      <w:r>
        <w:t xml:space="preserve">Obveze za pomoći proračunskim korisnicima drugih proračuna odnose se na sufinanciranje produženog boravka u osnovnoj školi za mjesec prosinac</w:t>
      </w:r>
    </w:p>
    <w:p>
      <w:pPr>
        <w:pStyle w:val="ListParagraph"/>
        <w:numPr>
          <w:ilvl w:val="0"/>
          <w:numId w:val="2"/>
        </w:numPr>
      </w:pPr>
      <w:r>
        <w:t xml:space="preserve">Obveze za naknade građanima i kućanstvima u najvećoj mjeri odnose se na sklopljene Ugovore, a vezano uz potpore mladoj obitelji za rješavanje stambenog pitanja i potpore za novorođenu djecu.</w:t>
      </w:r>
    </w:p>
    <w:p>
      <w:pPr>
        <w:pStyle w:val="ListParagraph"/>
        <w:numPr>
          <w:ilvl w:val="0"/>
          <w:numId w:val="2"/>
        </w:numPr>
      </w:pPr>
      <w:r>
        <w:t xml:space="preserve">Obveze za nabavu proizvedene dugotrajne imovine odnose se na račune za prosinac, a vezano za rekonstrukciju NC Vinogradska I prema groblju</w:t>
      </w:r>
    </w:p>
    <w:p>
      <w:pPr>
        <w:pStyle w:val="ListParagraph"/>
        <w:numPr>
          <w:ilvl w:val="0"/>
          <w:numId w:val="2"/>
        </w:numPr>
      </w:pPr>
      <w:r>
        <w:t xml:space="preserve">Obveze za kredite u cjelokupnom iznosu odnose se na dugoročni kredit za provedbu projekata "Rekonstrukcija nerazvrstane ceste "Veliko Trojstvo - Martinac" i građenje pješačke staze" i "Rekonstrukcija nerazvrstane ceste Vinogradska I (prema groblju) i pješačke staze"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477.015,97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508.888,18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w:t>
            </w:r>
          </w:p>
        </w:tc>
      </w:tr>
    </w:tbl>
    <w:p>
      <w:pPr>
        <w:spacing w:before="0" w:after="0"/>
      </w:pPr>
    </w:p>
    <w:p>
      <w:r>
        <w:t xml:space="preserve">Sukladno čl. 215. Pravilnika o proračunskom računovodstvu („Narodne Novine“ broj 158/23 i 154/24) salda na kraju godine na podskupini 922 utvrđena su prebijanjem računa viškova i manjkova po istovrsnim kategorijama i izvorima financiranja na razini osnovnog računa. Za iznos koji je bio evidentiran tijekom godine na računima kapitalnog prijenosa sredstava, a koji su utrošeni za nabavu dugotrajne nefinancijske imovine zadužuje se račun viška prihoda poslovanja, a odobrava manjak prihoda od nefinancijske imovine. Jednako tako za iznos koji je bio evidentiran tijekom godine na računima prijenosa sredstava financijske imovine za financiranje kapitalnih projekata, a koji su utrošeni za nabavu dugotrajne nefinancijske imovine zadužuje se račun viška prihoda od financijske imovine, a odobrava manjak prihoda od nefinancijske imovine. Rezultat navedenih korekcija dovodi do krajnjeg financijskog rezultata od:</w:t>
      </w:r>
    </w:p>
    <w:p>
      <w:pPr>
        <w:pStyle w:val="ListParagraph"/>
        <w:numPr>
          <w:ilvl w:val="0"/>
          <w:numId w:val="2"/>
        </w:numPr>
      </w:pPr>
      <w:r>
        <w:t xml:space="preserve">497.273,78 eura viška prihoda poslovanja</w:t>
      </w:r>
    </w:p>
    <w:p>
      <w:pPr>
        <w:pStyle w:val="ListParagraph"/>
        <w:numPr>
          <w:ilvl w:val="0"/>
          <w:numId w:val="2"/>
        </w:numPr>
      </w:pPr>
      <w:r>
        <w:t xml:space="preserve">11.614,40 eura viška nefinancijske imovine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531.282,11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728.132,08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Opće javne usluge ostvarene su u iznosu od 728.132,08 eura, a obuhvaćaju rashode ureda načelnika, rashode za osoblje u uredima, rashode pomoćnih službi za potrebe izvršnih tijela te rashode jedinstvenog upravnog odjela. Financijski i fiskalni poslovi proračuna te proračunskog korisnika, također su obuhvaćeni ovom funkcijom, a odnose se na upravljanja financijskim i fiskalnim poslovima i organizacijskim jedinicama,  vođenja porezne politike i sl. Opće usluge odnose se na rashode organizacijskih jedinica koje nisu povezane s nekom specifičnom funkcijom; razvoj i provedba općih kadrovskih politika, cjelokupno ekonomsko, socijalno planiranje i statistika, rashodi za nabavljanje i opskrbljivanje, informatičke službe i službe za obradu podataka i slično.</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Obrana (šifre 021 do 025)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Obrana ostvarena je u iznosu 2.500,00 eura, a obuhvaća civilnu obranu koja uključuje rashode civilne obrane i organiziranja vježbi u kojima sudjeluju civilne institucije i građani (HGSS).</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24.670,39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w:t>
            </w:r>
          </w:p>
        </w:tc>
      </w:tr>
    </w:tbl>
    <w:p>
      <w:pPr>
        <w:spacing w:before="0" w:after="0"/>
      </w:pPr>
    </w:p>
    <w:p>
      <w:r>
        <w:t xml:space="preserve">Javni red i sigurnost ostvaren je u iznosu 39.857,25 eura, a obuhvaća usluge protupožarne zaštite u koje se klasificiraju rashodi funkcioniranja javnih vatrogasnih postrojbi, dobrovoljnih vatrogasnih društava i ostalih ustanova za zaštitu od požara te rashodi za obuku i prevenciju od požara. Uključuju se i rashodi službi civilne zaštite.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372.637,17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1.197.763,86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321,4</w:t>
            </w:r>
          </w:p>
        </w:tc>
      </w:tr>
    </w:tbl>
    <w:p>
      <w:pPr>
        <w:spacing w:before="0" w:after="0"/>
      </w:pPr>
    </w:p>
    <w:p>
      <w:r>
        <w:t xml:space="preserve">Ekonomski poslovi ostvareni su u iznosu 1.197.763,86 eura. Od toga, opći ekonomski, trgovački i poslovi vezani uz rad ostvareni su u iznosu od 29.988,11 eura, a obuhvaćaju rashode funkcioniranja općih službi vezanih uz razvoj radnog zakonodavstva, rashodi nadzora i utvrđivanja uvjeta rada, programa i planova za smanjivanje stope nezaposlenosti, poticanja zapošljavanja određene skupine ljudi i slično. Rashodi za poljoprivredu ostvareni su u iznosu 24.232,10 eura, a uključuju rashode praćenja i funkcioniranja poljoprivredne djelatnosti te subvencije poljoprivrednicima. U ovu podskupinu klasificiraju se i rashodi službi koje se bave kontrolom štetočina i usjeva, sufinanciranje kontrole i upravljanja nad komercijalnim i sportskim lovom. Gorivo i energija ostvareni su u iznosu 32.334,09 eura, a obuhvaća rashode nafte i zemnog plina te rashode prijenosa i distribucije električne energije. Promet je ostvaren u iznosu 1.083.273,14 eura, a obuhvaća rashode funkcioniranja, korištenja, izgradnje i održavanja sustava i objekata cestovnog prometa (ceste, mostovi, parkirališta, pješačke staze i slično) te cjevovoda i ostalih prometnih sustava. Ostale industrije ostvarene su u iznosu 27.936,42 eura, a u njih se uključuje sufinanciranje turističke djelatnosti, rashodi turističkih zajednica i ureda, promotivnih kampanja te promicanja i razvoja turizma.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Zaštita okoliša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46.305,48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w:t>
            </w:r>
          </w:p>
        </w:tc>
      </w:tr>
    </w:tbl>
    <w:p>
      <w:pPr>
        <w:spacing w:before="0" w:after="0"/>
      </w:pPr>
    </w:p>
    <w:p>
      <w:r>
        <w:t xml:space="preserve">Zaštita okoliša ostvarena je u iznosu 15.191,24 eura, a odnosi se na rashode upravljanja otpadnim vodama koje obuhvaća pročišćavanje otpadnih voda te funkcioniranje kanalizacijskog sustava koje uključuje izgradnju i obnovu sustava kolektora, cjevovoda, kanala i pumpi za odvodnju otpadnih voda iz domaćinstava i drugih izvora. Ova funkcija obuhvaća poslove i usluge zaštite okoliša koji nisu drugdje klasificirani poput poslova pripreme i provedbe zakona i standarda u svezi s pružanjem usluga i obavljanjem poslova zaštite okoliša, poslova definiranja strategije, planova i ciljeva zaštite okoliša i slično.</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305.756,55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125.347,78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w:t>
            </w:r>
          </w:p>
        </w:tc>
      </w:tr>
    </w:tbl>
    <w:p>
      <w:pPr>
        <w:spacing w:before="0" w:after="0"/>
      </w:pPr>
    </w:p>
    <w:p>
      <w:r>
        <w:t xml:space="preserve">Usluge unaprijeđena stanovanja i zajednice ostvareni su u iznosu 125.347,78 eura, a obuhvaća razvoj zajednice koja uključuje rashode provedbe zakona o prostornom planiranju i korištenju zemljišta te propisa o izgradnji kao i planove rekonstrukcije stambenih, komunalnih, zdravstvenih, kulturnih, prosvjetnih, odgojnih, rekreacijskih i drugih građevinskih objekata zajednice. Također, ova funkcija obuhvaća i rashode opskrbe vodom te javnu rasvjetu koja obuhvaća upravljanje poslovima javne rasvjete te rashode za postavljanje, održavanje i općenito funkcioniranje javne rasvjete. Osim navedenog obuhvaća i rashode vezane za stanovanje i komunalne pogodnosti koji nisu drugdje klasificirani.</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758.461,04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108.321,20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w:t>
            </w:r>
          </w:p>
        </w:tc>
      </w:tr>
    </w:tbl>
    <w:p>
      <w:pPr>
        <w:spacing w:before="0" w:after="0"/>
      </w:pPr>
    </w:p>
    <w:p>
      <w:r>
        <w:t xml:space="preserve">Rekreacija, kultura i religija ostvareni su u iznosu 108.321,20 eura, a obuhvaća službe rekreacije i sporta koje uključuju rashode pružanja sportskih i rekreacijskih usluga te nadzora i funkcioniranja sportskih i rekreacijskih objekata, Uključuju se i rashodi za objekte za smještaj gledatelja te subvencije za podršku timovima ili individualnim natjecateljima. Službe kulture obuhvaćaju rashode funkcioniranja ili podrške funkcioniranju ustanovama koje pružaju kulturne usluge, kao i rashode proizvodnje, funkcioniranja ili podrške funkcioniranju kulturnih događaja – koncerti, predstave, festivali i slično. Obuhvaćaju se i nacionalne, regionalne i lokalne proslave koje nisu namijenjene isključivo privlačenju turista. Religijske i druge službe zajednice uključuju rashode za funkcioniranje, održavanje i popravak objekata za religijske i druge službe zajednice, donacije vjerskim zajednicama, političkim strankama i sl. Rashodi za rekreaciju, kulturu i religiju koji nisu drugdje svrstani kao npr. priprema i provedba zakona i standarda za pružanje rekreacijskih i kulturnih usluga, upravljanje i praćenje programa i planova za promociju sporta, kulture i religije i slično.</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91.893,23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105.991,64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w:t>
            </w:r>
          </w:p>
        </w:tc>
      </w:tr>
    </w:tbl>
    <w:p>
      <w:pPr>
        <w:spacing w:before="0" w:after="0"/>
      </w:pPr>
    </w:p>
    <w:p>
      <w:r>
        <w:t xml:space="preserve">Obrazovanje je ostvareno u iznosu 105.991,64 eura, a odnosi se na predškolsko i osnovno obrazovanje, srednjoškolsko obrazovanje te dodatne usluge u obrazovanju, koje obuhvaćaju rashode prijevoza, hrane,smještaja te ostale rashode sličnih dopunskih usluga namijenjenih prvenstveno za učenike odnosno korisnike usluga obrazovanja.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zaštita (šifre 101+102+103+104+105+106+107+108+109)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144.824,03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109.947,19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w:t>
            </w:r>
          </w:p>
        </w:tc>
      </w:tr>
    </w:tbl>
    <w:p>
      <w:pPr>
        <w:spacing w:before="0" w:after="0"/>
      </w:pPr>
    </w:p>
    <w:p>
      <w:r>
        <w:t xml:space="preserve">Socijalna zaštita ostvarena je u iznosu 109.947,19 eura, a odnosi se na funkciju starost, koja obuhvaća novčane naknade i naknade u naravi starijim Funkcija obitelj i djeca odnosi se na pružanje pomoći domaćinstvima s maloljetnom djecom, porodiljske naknade, oprema za novorođenčad, smještaj i hrana tijekom cijelog dana za djecu predškolskog uzrasta. Stanovanje obuhvaća pomoći domaćinstvima za pokrivanje troškova stanovanja (sufinanciranje stanarine i slično). Socijalna pomoć stanovništvu koje nije obuhvaćeno redovnim socijalnim programima obuhvaća pomoći (novčane ili u naturi) osobama s niskim primanjima. Aktivnosti socijalne zaštite koje nisu drugdje svrstane obuhvaćaju pripreme i provedbu zakona i standarda u svezi s pružanjem socijalne zaštite, formuliranje i upravljanje programima, planovima i ciljevima socijalne zaštite i slično. U ovu podskupinu uključuje se pružanje socijalne zaštite, bilo u novcu ili naravi, žrtvama prirodnih katastrofa.</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326.989,25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221.196,95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bl>
    <w:p>
      <w:pPr>
        <w:spacing w:before="0" w:after="0"/>
      </w:pPr>
    </w:p>
    <w:p>
      <w:r>
        <w:t xml:space="preserve">Promjene u vrijednosti imovine odnose se isključivo na redovni godišnji trošak amortizacije.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326.989,25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Promjene u obujmu imovine odnose se na naknadno evidentirane nerazvrstane ceste sukladno procijeni i popisu članova inventurnog povjerenstva obavljenog u 2025. godini.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1.106,84 eura, a razlog nepravovremenog podmirenja obveza je kratak rok dospijeća i pad sustava elektronskog zaprimanja računa.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625.632,12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625.632,12, a odnose se na:</w:t>
      </w:r>
    </w:p>
    <w:p>
      <w:pPr>
        <w:pStyle w:val="ListParagraph"/>
        <w:numPr>
          <w:ilvl w:val="0"/>
          <w:numId w:val="2"/>
        </w:numPr>
      </w:pPr>
      <w:r>
        <w:t xml:space="preserve">Obveza za plaće djelatnika Općine Veliko Trojstvo u iznosu 33.631,50 eura</w:t>
      </w:r>
    </w:p>
    <w:p>
      <w:pPr>
        <w:pStyle w:val="ListParagraph"/>
        <w:numPr>
          <w:ilvl w:val="0"/>
          <w:numId w:val="2"/>
        </w:numPr>
      </w:pPr>
      <w:r>
        <w:t xml:space="preserve">Obveza za materijalne rashode u iznosu od 27.267,40 eura</w:t>
      </w:r>
    </w:p>
    <w:p>
      <w:pPr>
        <w:pStyle w:val="ListParagraph"/>
        <w:numPr>
          <w:ilvl w:val="0"/>
          <w:numId w:val="2"/>
        </w:numPr>
      </w:pPr>
      <w:r>
        <w:t xml:space="preserve">Obveze za financijske rashode u iznosu 461,75 eura</w:t>
      </w:r>
    </w:p>
    <w:p>
      <w:pPr>
        <w:pStyle w:val="ListParagraph"/>
        <w:numPr>
          <w:ilvl w:val="0"/>
          <w:numId w:val="2"/>
        </w:numPr>
      </w:pPr>
      <w:r>
        <w:t xml:space="preserve">Obveze za subvencije u iznosu 1.885,00 eura</w:t>
      </w:r>
    </w:p>
    <w:p>
      <w:pPr>
        <w:pStyle w:val="ListParagraph"/>
        <w:numPr>
          <w:ilvl w:val="0"/>
          <w:numId w:val="2"/>
        </w:numPr>
      </w:pPr>
      <w:r>
        <w:t xml:space="preserve">Obveze za naknade građanima i kućanstvima u iznosu od 454,50 eura</w:t>
      </w:r>
    </w:p>
    <w:p>
      <w:pPr>
        <w:pStyle w:val="ListParagraph"/>
        <w:numPr>
          <w:ilvl w:val="0"/>
          <w:numId w:val="2"/>
        </w:numPr>
      </w:pPr>
      <w:r>
        <w:t xml:space="preserve">Ostale tekuće obveze u iznosu 22.584,05 eura</w:t>
      </w:r>
    </w:p>
    <w:p>
      <w:pPr>
        <w:pStyle w:val="ListParagraph"/>
        <w:numPr>
          <w:ilvl w:val="0"/>
          <w:numId w:val="2"/>
        </w:numPr>
      </w:pPr>
      <w:r>
        <w:t xml:space="preserve">Obveze za nabavu proizvedene dugotrajne imovine u iznosu 12.046,75 eura</w:t>
      </w:r>
    </w:p>
    <w:p>
      <w:pPr>
        <w:pStyle w:val="ListParagraph"/>
        <w:numPr>
          <w:ilvl w:val="0"/>
          <w:numId w:val="2"/>
        </w:numPr>
      </w:pPr>
      <w:r>
        <w:t xml:space="preserve">Obveza za dugoročni kredit u iznosu 458.053,89 eura</w:t>
      </w:r>
    </w:p>
    <w:p>
      <w:pPr>
        <w:pStyle w:val="ListParagraph"/>
        <w:numPr>
          <w:ilvl w:val="0"/>
          <w:numId w:val="2"/>
        </w:numPr>
      </w:pPr>
      <w:r>
        <w:t xml:space="preserve">Obveze za predujmove u iznosu 162,20 eura</w:t>
      </w:r>
    </w:p>
    <w:p>
      <w:pPr>
        <w:pStyle w:val="ListParagraph"/>
        <w:numPr>
          <w:ilvl w:val="0"/>
          <w:numId w:val="2"/>
        </w:numPr>
      </w:pPr>
      <w:r>
        <w:t xml:space="preserve">Obveze za jamčevne pologe u iznosu 8.453,12 eura</w:t>
      </w:r>
    </w:p>
    <w:p>
      <w:pPr>
        <w:pStyle w:val="ListParagraph"/>
        <w:numPr>
          <w:ilvl w:val="0"/>
          <w:numId w:val="2"/>
        </w:numPr>
      </w:pPr>
      <w:r>
        <w:t xml:space="preserve">Obveze za Eu predujmove u iznosu 61.738,80 eura.</w:t>
      </w:r>
    </w:p>
    <w:p/>
    <w:p>
      <w:pPr>
        <w:jc w:val="center"/>
        <w:pStyle w:val="Normal"/>
        <w:spacing w:line="240" w:lineRule="auto"/>
        <w:keepNext/>
      </w:pPr>
      <w:r>
        <w:rPr>
          <w:sz w:val="28"/>
          <w:rFonts w:ascii="Times New Roman" w:hAnsi="Times New Roman"/>
        </w:rPr>
        <w:t xml:space="preserve">Bilješka 38.</w:t>
      </w:r>
    </w:p>
    <w:p>
      <w:pPr>
        <w:jc w:val="both"/>
        <w:pStyle w:val="Normal"/>
        <w:spacing w:line="240" w:lineRule="auto"/>
      </w:pPr>
      <w:r>
        <w:rPr>
          <w:b/>
          <w:sz w:val="24"/>
          <w:rFonts w:ascii="Times New Roman" w:hAnsi="Times New Roman"/>
        </w:rPr>
        <w:t xml:space="preserve">EU izvještaj</w:t>
      </w:r>
    </w:p>
    <w:p>
      <w:r>
        <w:t xml:space="preserve">Općina Veliko Trojstvo u 2025. godini provodila je dva projekta koristeći sredstva Europske unije:</w:t>
      </w:r>
    </w:p>
    <w:p>
      <w:pPr>
        <w:pStyle w:val="ListParagraph"/>
        <w:numPr>
          <w:ilvl w:val="0"/>
          <w:numId w:val="2"/>
        </w:numPr>
      </w:pPr>
      <w:r>
        <w:t xml:space="preserve">Projekt „Trojačke ruže – pomoć starijim osobama“, kodni broj: SF.3.4.11.01.0402, financira se iz Europskog socijalnog fonda plus u financijskom razdoblju 2021.-2027..</w:t>
      </w:r>
    </w:p>
    <w:p>
      <w:pPr>
        <w:pStyle w:val="ListParagraph"/>
        <w:numPr>
          <w:ilvl w:val="0"/>
          <w:numId w:val="2"/>
        </w:numPr>
      </w:pPr>
      <w:r>
        <w:t xml:space="preserve">Projekt ITU - Revitalizacija etnografskog muzeja i etno parka kroz uređenje, opremanje i razvoj digitalne i multimedijalne prezentacije kulturne baštine, kod projekta: IP.3.1.03.0001., financira se iz Europskog fonda za regionalni razvoj</w:t>
      </w:r>
    </w:p>
    <w:p>
      <w:r>
        <w:t xml:space="preserve"> </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c51d103f93f4215" /><Relationship Type="http://schemas.openxmlformats.org/officeDocument/2006/relationships/numbering" Target="/word/numbering.xml" Id="R06dd70d7145d435d" /></Relationships>
</file>