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60" w:rsidRDefault="00327160" w:rsidP="00445908">
      <w:pPr>
        <w:rPr>
          <w:b/>
          <w:sz w:val="22"/>
        </w:rPr>
      </w:pPr>
    </w:p>
    <w:p w:rsidR="00327160" w:rsidRDefault="00327160" w:rsidP="00445908">
      <w:pPr>
        <w:jc w:val="center"/>
        <w:rPr>
          <w:b/>
          <w:bCs/>
          <w:sz w:val="36"/>
          <w:szCs w:val="36"/>
        </w:rPr>
      </w:pPr>
      <w:r w:rsidRPr="00556D7E">
        <w:rPr>
          <w:b/>
          <w:bCs/>
          <w:sz w:val="36"/>
          <w:szCs w:val="36"/>
        </w:rPr>
        <w:t>Bilješke uz</w:t>
      </w:r>
      <w:r>
        <w:rPr>
          <w:b/>
          <w:bCs/>
          <w:sz w:val="36"/>
          <w:szCs w:val="36"/>
        </w:rPr>
        <w:t xml:space="preserve"> financijsk</w:t>
      </w:r>
      <w:r w:rsidR="002A3206">
        <w:rPr>
          <w:b/>
          <w:bCs/>
          <w:sz w:val="36"/>
          <w:szCs w:val="36"/>
        </w:rPr>
        <w:t>e</w:t>
      </w:r>
      <w:r w:rsidRPr="00556D7E">
        <w:rPr>
          <w:b/>
          <w:bCs/>
          <w:sz w:val="36"/>
          <w:szCs w:val="36"/>
        </w:rPr>
        <w:t xml:space="preserve"> izvješ</w:t>
      </w:r>
      <w:r>
        <w:rPr>
          <w:b/>
          <w:bCs/>
          <w:sz w:val="36"/>
          <w:szCs w:val="36"/>
        </w:rPr>
        <w:t>taj</w:t>
      </w:r>
      <w:r w:rsidR="002A3206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 za razdoblje</w:t>
      </w:r>
      <w:r w:rsidR="002A3206">
        <w:rPr>
          <w:b/>
          <w:bCs/>
          <w:sz w:val="36"/>
          <w:szCs w:val="36"/>
        </w:rPr>
        <w:t xml:space="preserve"> od</w:t>
      </w:r>
    </w:p>
    <w:p w:rsidR="00327160" w:rsidRDefault="00327160" w:rsidP="004459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Pr="00327160">
        <w:rPr>
          <w:b/>
          <w:bCs/>
          <w:sz w:val="36"/>
          <w:szCs w:val="36"/>
        </w:rPr>
        <w:t xml:space="preserve">siječnja </w:t>
      </w:r>
      <w:r w:rsidR="002A3206">
        <w:rPr>
          <w:b/>
          <w:bCs/>
          <w:sz w:val="36"/>
          <w:szCs w:val="36"/>
        </w:rPr>
        <w:t>do</w:t>
      </w:r>
      <w:r w:rsidRPr="00327160">
        <w:rPr>
          <w:b/>
          <w:bCs/>
          <w:sz w:val="36"/>
          <w:szCs w:val="36"/>
        </w:rPr>
        <w:t xml:space="preserve"> 31. prosinca 202</w:t>
      </w:r>
      <w:r w:rsidR="00EA0DC4">
        <w:rPr>
          <w:b/>
          <w:bCs/>
          <w:sz w:val="36"/>
          <w:szCs w:val="36"/>
        </w:rPr>
        <w:t>2</w:t>
      </w:r>
      <w:r w:rsidRPr="00327160">
        <w:rPr>
          <w:b/>
          <w:bCs/>
          <w:sz w:val="36"/>
          <w:szCs w:val="36"/>
        </w:rPr>
        <w:t>. godine</w:t>
      </w:r>
    </w:p>
    <w:p w:rsidR="00327160" w:rsidRPr="00327160" w:rsidRDefault="00327160" w:rsidP="00445908">
      <w:pPr>
        <w:jc w:val="center"/>
        <w:rPr>
          <w:b/>
          <w:bCs/>
          <w:sz w:val="36"/>
          <w:szCs w:val="36"/>
        </w:rPr>
      </w:pPr>
    </w:p>
    <w:p w:rsidR="00327160" w:rsidRDefault="00327160" w:rsidP="00445908">
      <w:pPr>
        <w:rPr>
          <w:b/>
          <w:bCs/>
          <w:szCs w:val="36"/>
        </w:rPr>
      </w:pPr>
    </w:p>
    <w:p w:rsidR="00327160" w:rsidRDefault="00327160" w:rsidP="00445908">
      <w:pPr>
        <w:rPr>
          <w:b/>
          <w:bCs/>
          <w:szCs w:val="24"/>
        </w:rPr>
      </w:pPr>
      <w:r w:rsidRPr="003A20E2">
        <w:rPr>
          <w:b/>
          <w:szCs w:val="24"/>
        </w:rPr>
        <w:t>Uvodne bilješke</w:t>
      </w:r>
      <w:r>
        <w:rPr>
          <w:b/>
          <w:szCs w:val="24"/>
        </w:rPr>
        <w:t xml:space="preserve"> – podaci o obvezniku:</w:t>
      </w:r>
      <w:r w:rsidRPr="003A20E2">
        <w:rPr>
          <w:b/>
          <w:szCs w:val="24"/>
        </w:rPr>
        <w:t xml:space="preserve"> </w:t>
      </w:r>
      <w:r w:rsidRPr="003A20E2">
        <w:rPr>
          <w:b/>
          <w:bCs/>
          <w:szCs w:val="24"/>
        </w:rPr>
        <w:t xml:space="preserve">    </w:t>
      </w:r>
    </w:p>
    <w:p w:rsidR="00900EE8" w:rsidRDefault="00900EE8" w:rsidP="00445908">
      <w:pPr>
        <w:rPr>
          <w:b/>
          <w:bCs/>
          <w:szCs w:val="24"/>
        </w:rPr>
      </w:pPr>
    </w:p>
    <w:p w:rsidR="00327160" w:rsidRDefault="00900EE8" w:rsidP="00445908">
      <w:pPr>
        <w:rPr>
          <w:bCs/>
          <w:szCs w:val="24"/>
        </w:rPr>
      </w:pPr>
      <w:r>
        <w:rPr>
          <w:bCs/>
          <w:szCs w:val="24"/>
        </w:rPr>
        <w:t>Općina Veliko Trojstvo</w:t>
      </w:r>
    </w:p>
    <w:p w:rsidR="00327160" w:rsidRDefault="00327160" w:rsidP="00445908">
      <w:pPr>
        <w:rPr>
          <w:bCs/>
          <w:szCs w:val="24"/>
        </w:rPr>
      </w:pPr>
      <w:r>
        <w:rPr>
          <w:bCs/>
          <w:szCs w:val="24"/>
        </w:rPr>
        <w:t xml:space="preserve">Braće Radić </w:t>
      </w:r>
      <w:r w:rsidR="00900EE8">
        <w:rPr>
          <w:bCs/>
          <w:szCs w:val="24"/>
        </w:rPr>
        <w:t>28</w:t>
      </w:r>
    </w:p>
    <w:p w:rsidR="00327160" w:rsidRDefault="00327160" w:rsidP="00445908">
      <w:pPr>
        <w:rPr>
          <w:b/>
          <w:bCs/>
          <w:szCs w:val="24"/>
        </w:rPr>
      </w:pPr>
      <w:r>
        <w:rPr>
          <w:bCs/>
          <w:szCs w:val="24"/>
        </w:rPr>
        <w:t>43226 Veliko Trojstvo</w:t>
      </w:r>
      <w:r w:rsidRPr="003A20E2">
        <w:rPr>
          <w:b/>
          <w:bCs/>
          <w:szCs w:val="24"/>
        </w:rPr>
        <w:t xml:space="preserve">           </w:t>
      </w:r>
    </w:p>
    <w:p w:rsidR="00327160" w:rsidRPr="003A20E2" w:rsidRDefault="00327160" w:rsidP="00445908">
      <w:pPr>
        <w:rPr>
          <w:b/>
          <w:bCs/>
          <w:szCs w:val="24"/>
        </w:rPr>
      </w:pPr>
      <w:r w:rsidRPr="003A20E2">
        <w:rPr>
          <w:b/>
          <w:bCs/>
          <w:szCs w:val="24"/>
        </w:rPr>
        <w:t xml:space="preserve">                                                                                     </w:t>
      </w:r>
    </w:p>
    <w:p w:rsidR="00327160" w:rsidRPr="00B5133E" w:rsidRDefault="00327160" w:rsidP="00445908">
      <w:pPr>
        <w:rPr>
          <w:szCs w:val="24"/>
        </w:rPr>
      </w:pPr>
      <w:r w:rsidRPr="00B5133E">
        <w:rPr>
          <w:szCs w:val="24"/>
        </w:rPr>
        <w:t xml:space="preserve">OIB: </w:t>
      </w:r>
      <w:r w:rsidR="00900EE8">
        <w:rPr>
          <w:szCs w:val="24"/>
        </w:rPr>
        <w:t>85823514889</w:t>
      </w:r>
    </w:p>
    <w:p w:rsidR="00327160" w:rsidRPr="00B5133E" w:rsidRDefault="00327160" w:rsidP="00445908">
      <w:pPr>
        <w:rPr>
          <w:szCs w:val="24"/>
        </w:rPr>
      </w:pPr>
      <w:r w:rsidRPr="00B5133E">
        <w:rPr>
          <w:szCs w:val="24"/>
        </w:rPr>
        <w:t xml:space="preserve">Matični broj: </w:t>
      </w:r>
      <w:r>
        <w:rPr>
          <w:szCs w:val="24"/>
        </w:rPr>
        <w:t>0</w:t>
      </w:r>
      <w:r w:rsidR="00900EE8">
        <w:rPr>
          <w:szCs w:val="24"/>
        </w:rPr>
        <w:t>2544776</w:t>
      </w:r>
    </w:p>
    <w:p w:rsidR="00327160" w:rsidRDefault="00327160" w:rsidP="00445908">
      <w:pPr>
        <w:rPr>
          <w:bCs/>
          <w:szCs w:val="24"/>
        </w:rPr>
      </w:pPr>
      <w:r w:rsidRPr="0053578E">
        <w:rPr>
          <w:bCs/>
          <w:szCs w:val="24"/>
        </w:rPr>
        <w:t xml:space="preserve">Broj RKP-a: </w:t>
      </w:r>
      <w:r w:rsidR="00900EE8">
        <w:rPr>
          <w:bCs/>
          <w:szCs w:val="24"/>
        </w:rPr>
        <w:t>35669</w:t>
      </w:r>
    </w:p>
    <w:p w:rsidR="00131313" w:rsidRDefault="00131313" w:rsidP="00445908">
      <w:pPr>
        <w:rPr>
          <w:bCs/>
          <w:szCs w:val="24"/>
        </w:rPr>
      </w:pPr>
      <w:r>
        <w:rPr>
          <w:bCs/>
          <w:szCs w:val="24"/>
        </w:rPr>
        <w:t>Šifra županije: 07 – Bjelovarsko-bilogorska županija</w:t>
      </w:r>
    </w:p>
    <w:p w:rsidR="00327160" w:rsidRPr="00B5133E" w:rsidRDefault="00327160" w:rsidP="00445908">
      <w:pPr>
        <w:rPr>
          <w:szCs w:val="24"/>
        </w:rPr>
      </w:pPr>
      <w:r>
        <w:rPr>
          <w:szCs w:val="24"/>
        </w:rPr>
        <w:t>Šifra općine:</w:t>
      </w:r>
      <w:r w:rsidRPr="00B5133E">
        <w:rPr>
          <w:szCs w:val="24"/>
        </w:rPr>
        <w:t xml:space="preserve"> 483</w:t>
      </w:r>
      <w:r w:rsidR="00131313">
        <w:rPr>
          <w:szCs w:val="24"/>
        </w:rPr>
        <w:t xml:space="preserve"> – Općina Veliko Trojstvo</w:t>
      </w:r>
    </w:p>
    <w:p w:rsidR="00327160" w:rsidRPr="00B5133E" w:rsidRDefault="00327160" w:rsidP="00445908">
      <w:pPr>
        <w:rPr>
          <w:szCs w:val="24"/>
        </w:rPr>
      </w:pPr>
      <w:r>
        <w:rPr>
          <w:szCs w:val="24"/>
        </w:rPr>
        <w:t>Razina: 2</w:t>
      </w:r>
      <w:r w:rsidR="00900EE8">
        <w:rPr>
          <w:szCs w:val="24"/>
        </w:rPr>
        <w:t>2</w:t>
      </w:r>
      <w:r w:rsidRPr="00B5133E">
        <w:rPr>
          <w:szCs w:val="24"/>
        </w:rPr>
        <w:t xml:space="preserve"> –</w:t>
      </w:r>
      <w:r>
        <w:rPr>
          <w:szCs w:val="24"/>
        </w:rPr>
        <w:t xml:space="preserve"> </w:t>
      </w:r>
      <w:r w:rsidR="00900EE8">
        <w:rPr>
          <w:szCs w:val="24"/>
        </w:rPr>
        <w:t>Proračun</w:t>
      </w:r>
      <w:r w:rsidRPr="00B5133E">
        <w:rPr>
          <w:szCs w:val="24"/>
        </w:rPr>
        <w:t xml:space="preserve"> jedinice</w:t>
      </w:r>
      <w:r>
        <w:rPr>
          <w:szCs w:val="24"/>
        </w:rPr>
        <w:t xml:space="preserve"> lokalne i područne (regionalne)</w:t>
      </w:r>
      <w:r w:rsidRPr="00B5133E">
        <w:rPr>
          <w:szCs w:val="24"/>
        </w:rPr>
        <w:t xml:space="preserve"> samouprave</w:t>
      </w:r>
    </w:p>
    <w:p w:rsidR="00327160" w:rsidRDefault="00327160" w:rsidP="00445908">
      <w:pPr>
        <w:rPr>
          <w:bCs/>
          <w:szCs w:val="24"/>
        </w:rPr>
      </w:pPr>
      <w:r>
        <w:rPr>
          <w:bCs/>
          <w:szCs w:val="24"/>
        </w:rPr>
        <w:t>Razdjel: 000</w:t>
      </w:r>
    </w:p>
    <w:p w:rsidR="00327160" w:rsidRPr="00B5133E" w:rsidRDefault="00327160" w:rsidP="00445908">
      <w:pPr>
        <w:rPr>
          <w:szCs w:val="24"/>
        </w:rPr>
      </w:pPr>
      <w:r w:rsidRPr="00B5133E">
        <w:rPr>
          <w:szCs w:val="24"/>
        </w:rPr>
        <w:t>Šifra djelatnosti: 8</w:t>
      </w:r>
      <w:r w:rsidR="00900EE8">
        <w:rPr>
          <w:szCs w:val="24"/>
        </w:rPr>
        <w:t>411</w:t>
      </w:r>
      <w:r w:rsidRPr="00B5133E">
        <w:rPr>
          <w:szCs w:val="24"/>
        </w:rPr>
        <w:t xml:space="preserve"> – </w:t>
      </w:r>
      <w:r w:rsidR="00900EE8">
        <w:rPr>
          <w:szCs w:val="24"/>
        </w:rPr>
        <w:t>Opće djelatnosti javne uprave</w:t>
      </w:r>
    </w:p>
    <w:p w:rsidR="00327160" w:rsidRPr="0053578E" w:rsidRDefault="00327160" w:rsidP="00445908">
      <w:pPr>
        <w:rPr>
          <w:bCs/>
          <w:szCs w:val="24"/>
        </w:rPr>
      </w:pPr>
      <w:r>
        <w:rPr>
          <w:bCs/>
          <w:szCs w:val="24"/>
        </w:rPr>
        <w:t xml:space="preserve">Broj računa: </w:t>
      </w:r>
      <w:r>
        <w:rPr>
          <w:szCs w:val="24"/>
        </w:rPr>
        <w:t>HR</w:t>
      </w:r>
      <w:r w:rsidR="00900EE8">
        <w:rPr>
          <w:szCs w:val="24"/>
        </w:rPr>
        <w:t>7624020061848300001</w:t>
      </w:r>
      <w:r>
        <w:rPr>
          <w:szCs w:val="24"/>
        </w:rPr>
        <w:t xml:space="preserve"> – račun Proračuna, račun za redovno poslovanje </w:t>
      </w:r>
      <w:r w:rsidRPr="00B5133E">
        <w:rPr>
          <w:szCs w:val="24"/>
        </w:rPr>
        <w:t>otvoren kod Erste&amp;</w:t>
      </w:r>
      <w:proofErr w:type="spellStart"/>
      <w:r w:rsidRPr="00B5133E">
        <w:rPr>
          <w:szCs w:val="24"/>
        </w:rPr>
        <w:t>steierm</w:t>
      </w:r>
      <w:r>
        <w:rPr>
          <w:szCs w:val="24"/>
        </w:rPr>
        <w:t>ä</w:t>
      </w:r>
      <w:r w:rsidRPr="00B5133E">
        <w:rPr>
          <w:szCs w:val="24"/>
        </w:rPr>
        <w:t>rkische</w:t>
      </w:r>
      <w:proofErr w:type="spellEnd"/>
      <w:r w:rsidRPr="00B5133E">
        <w:rPr>
          <w:szCs w:val="24"/>
        </w:rPr>
        <w:t xml:space="preserve"> </w:t>
      </w:r>
      <w:proofErr w:type="spellStart"/>
      <w:r w:rsidRPr="00B5133E">
        <w:rPr>
          <w:szCs w:val="24"/>
        </w:rPr>
        <w:t>bank</w:t>
      </w:r>
      <w:proofErr w:type="spellEnd"/>
      <w:r w:rsidRPr="00B5133E">
        <w:rPr>
          <w:szCs w:val="24"/>
        </w:rPr>
        <w:t xml:space="preserve"> d.d.</w:t>
      </w:r>
    </w:p>
    <w:p w:rsidR="00327160" w:rsidRDefault="00327160" w:rsidP="0044590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8385B" wp14:editId="63E6FB2F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6269355" cy="0"/>
                <wp:effectExtent l="0" t="0" r="0" b="0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0;margin-top:13.25pt;width:49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"/>
            </w:pict>
          </mc:Fallback>
        </mc:AlternateContent>
      </w:r>
    </w:p>
    <w:p w:rsidR="00327160" w:rsidRDefault="00327160" w:rsidP="00445908"/>
    <w:p w:rsidR="0045041E" w:rsidRPr="008A5AB9" w:rsidRDefault="00EA4679" w:rsidP="0044590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Veliko Trojstvo</w:t>
      </w:r>
      <w:r w:rsidR="00317783" w:rsidRPr="008A5AB9">
        <w:rPr>
          <w:sz w:val="24"/>
          <w:szCs w:val="24"/>
        </w:rPr>
        <w:t>, jedinic</w:t>
      </w:r>
      <w:r>
        <w:rPr>
          <w:sz w:val="24"/>
          <w:szCs w:val="24"/>
        </w:rPr>
        <w:t>a</w:t>
      </w:r>
      <w:r w:rsidR="00317783" w:rsidRPr="008A5AB9">
        <w:rPr>
          <w:sz w:val="24"/>
          <w:szCs w:val="24"/>
        </w:rPr>
        <w:t xml:space="preserve"> lokalne samouprave, obveznik je vođenja proračunskog računovodstva i sastavljanja godišnjih financijskih izvještaja, kao i sastavljanja bilješki uz financ</w:t>
      </w:r>
      <w:r>
        <w:rPr>
          <w:sz w:val="24"/>
          <w:szCs w:val="24"/>
        </w:rPr>
        <w:t>ijske izvještaje sukladno čl. 139</w:t>
      </w:r>
      <w:r w:rsidR="00317783" w:rsidRPr="008A5AB9">
        <w:rPr>
          <w:sz w:val="24"/>
          <w:szCs w:val="24"/>
        </w:rPr>
        <w:t xml:space="preserve"> Zakona o proračunu („Narodne  Novine“, broj </w:t>
      </w:r>
      <w:r>
        <w:rPr>
          <w:sz w:val="24"/>
          <w:szCs w:val="24"/>
        </w:rPr>
        <w:t>144/21</w:t>
      </w:r>
      <w:r w:rsidR="00317783" w:rsidRPr="008A5AB9">
        <w:rPr>
          <w:sz w:val="24"/>
          <w:szCs w:val="24"/>
        </w:rPr>
        <w:t xml:space="preserve">), te Pravilniku o financijskom izvještavanju u proračunskom računovodstvu („Narodne Novine“ broj </w:t>
      </w:r>
      <w:r w:rsidR="00E05AAA">
        <w:rPr>
          <w:sz w:val="24"/>
          <w:szCs w:val="24"/>
        </w:rPr>
        <w:t>37/22</w:t>
      </w:r>
      <w:r w:rsidR="00317783" w:rsidRPr="008A5AB9">
        <w:rPr>
          <w:sz w:val="24"/>
          <w:szCs w:val="24"/>
        </w:rPr>
        <w:t>).</w:t>
      </w:r>
    </w:p>
    <w:p w:rsidR="00E65283" w:rsidRPr="008A5AB9" w:rsidRDefault="00E65283" w:rsidP="00445908">
      <w:pPr>
        <w:pStyle w:val="Bezproreda"/>
        <w:jc w:val="both"/>
        <w:rPr>
          <w:sz w:val="24"/>
          <w:szCs w:val="24"/>
        </w:rPr>
      </w:pPr>
    </w:p>
    <w:p w:rsidR="00E34E92" w:rsidRDefault="00E65283" w:rsidP="00890BD3">
      <w:r w:rsidRPr="00E65283">
        <w:t>Općina Veliko Trojstvo formirana je 29. prosinca 1992. godine donošenjem Zakona o područjima županija, gradova i općina u Republici Hrvatskoj, da bi naknadno 6. veljače 1997. godine bila podijeljena na Općinu Veliko Trojstvo i Općinu Šandrovac.</w:t>
      </w:r>
    </w:p>
    <w:p w:rsidR="00E65283" w:rsidRDefault="00E65283" w:rsidP="00890BD3"/>
    <w:p w:rsidR="00E34E92" w:rsidRDefault="00010ACA" w:rsidP="00890BD3">
      <w:r w:rsidRPr="00010ACA">
        <w:t xml:space="preserve">Dužnost Općinskog načelnika Općine Veliko Trojstvo u mandatu od 2021. godine obavlja Marko </w:t>
      </w:r>
      <w:proofErr w:type="spellStart"/>
      <w:r w:rsidRPr="00010ACA">
        <w:t>Kutanjac</w:t>
      </w:r>
      <w:proofErr w:type="spellEnd"/>
      <w:r w:rsidRPr="00010ACA">
        <w:t>.</w:t>
      </w:r>
    </w:p>
    <w:p w:rsidR="00E34E92" w:rsidRDefault="00E34E92" w:rsidP="00890BD3">
      <w:bookmarkStart w:id="0" w:name="_GoBack"/>
      <w:bookmarkEnd w:id="0"/>
    </w:p>
    <w:p w:rsidR="00794645" w:rsidRDefault="00794645" w:rsidP="00794645">
      <w:pPr>
        <w:rPr>
          <w:szCs w:val="24"/>
        </w:rPr>
      </w:pPr>
      <w:r w:rsidRPr="001104A1">
        <w:rPr>
          <w:szCs w:val="24"/>
        </w:rPr>
        <w:t>Tijekom 202</w:t>
      </w:r>
      <w:r w:rsidR="00E05AAA">
        <w:rPr>
          <w:szCs w:val="24"/>
        </w:rPr>
        <w:t>2</w:t>
      </w:r>
      <w:r w:rsidRPr="001104A1">
        <w:rPr>
          <w:szCs w:val="24"/>
        </w:rPr>
        <w:t>. godine financiranje javnih r</w:t>
      </w:r>
      <w:r>
        <w:rPr>
          <w:szCs w:val="24"/>
        </w:rPr>
        <w:t>ashoda izvršeno je na osnovi sl</w:t>
      </w:r>
      <w:r w:rsidRPr="001104A1">
        <w:rPr>
          <w:szCs w:val="24"/>
        </w:rPr>
        <w:t xml:space="preserve">jedećih financijsko planskih dokumenata: </w:t>
      </w:r>
    </w:p>
    <w:p w:rsid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 w:rsidRPr="00A4438E">
        <w:rPr>
          <w:szCs w:val="24"/>
        </w:rPr>
        <w:t xml:space="preserve">Proračuna Općine </w:t>
      </w:r>
      <w:r>
        <w:rPr>
          <w:szCs w:val="24"/>
        </w:rPr>
        <w:t>Veliko Trojstvo</w:t>
      </w:r>
      <w:r w:rsidRPr="00A4438E">
        <w:rPr>
          <w:szCs w:val="24"/>
        </w:rPr>
        <w:t xml:space="preserve"> za 202</w:t>
      </w:r>
      <w:r>
        <w:rPr>
          <w:szCs w:val="24"/>
        </w:rPr>
        <w:t>2</w:t>
      </w:r>
      <w:r w:rsidRPr="00A4438E">
        <w:rPr>
          <w:szCs w:val="24"/>
        </w:rPr>
        <w:t>. godinu s projekcijom za 202</w:t>
      </w:r>
      <w:r>
        <w:rPr>
          <w:szCs w:val="24"/>
        </w:rPr>
        <w:t>3</w:t>
      </w:r>
      <w:r w:rsidRPr="00A4438E">
        <w:rPr>
          <w:szCs w:val="24"/>
        </w:rPr>
        <w:t>. i 202</w:t>
      </w:r>
      <w:r>
        <w:rPr>
          <w:szCs w:val="24"/>
        </w:rPr>
        <w:t>4</w:t>
      </w:r>
      <w:r w:rsidRPr="00A4438E">
        <w:rPr>
          <w:szCs w:val="24"/>
        </w:rPr>
        <w:t>. godinu i Odluke o izvršavanju Proračuna Općine Veli</w:t>
      </w:r>
      <w:r>
        <w:rPr>
          <w:szCs w:val="24"/>
        </w:rPr>
        <w:t xml:space="preserve">ko Trojstvo </w:t>
      </w:r>
      <w:r w:rsidRPr="00A4438E">
        <w:rPr>
          <w:szCs w:val="24"/>
        </w:rPr>
        <w:t>za 202</w:t>
      </w:r>
      <w:r>
        <w:rPr>
          <w:szCs w:val="24"/>
        </w:rPr>
        <w:t>2</w:t>
      </w:r>
      <w:r w:rsidRPr="00A4438E">
        <w:rPr>
          <w:szCs w:val="24"/>
        </w:rPr>
        <w:t>.</w:t>
      </w:r>
      <w:r>
        <w:rPr>
          <w:szCs w:val="24"/>
        </w:rPr>
        <w:t xml:space="preserve"> </w:t>
      </w:r>
      <w:r w:rsidRPr="00A4438E">
        <w:rPr>
          <w:szCs w:val="24"/>
        </w:rPr>
        <w:t xml:space="preserve">godinu, koje je Općinsko vijeće usvojilo na </w:t>
      </w:r>
      <w:r>
        <w:rPr>
          <w:szCs w:val="24"/>
        </w:rPr>
        <w:t>5</w:t>
      </w:r>
      <w:r w:rsidRPr="00A4438E">
        <w:rPr>
          <w:szCs w:val="24"/>
        </w:rPr>
        <w:t xml:space="preserve">. sjednici održanoj dana </w:t>
      </w:r>
      <w:r>
        <w:rPr>
          <w:szCs w:val="24"/>
        </w:rPr>
        <w:t>16</w:t>
      </w:r>
      <w:r w:rsidRPr="00A4438E">
        <w:rPr>
          <w:szCs w:val="24"/>
        </w:rPr>
        <w:t>.12.20</w:t>
      </w:r>
      <w:r>
        <w:rPr>
          <w:szCs w:val="24"/>
        </w:rPr>
        <w:t>21</w:t>
      </w:r>
      <w:r w:rsidRPr="00A4438E">
        <w:rPr>
          <w:szCs w:val="24"/>
        </w:rPr>
        <w:t xml:space="preserve">. godine, a objavljenih </w:t>
      </w:r>
      <w:r w:rsidRPr="00A4438E">
        <w:rPr>
          <w:color w:val="000000"/>
          <w:szCs w:val="24"/>
        </w:rPr>
        <w:t>u „Službenom glasniku Općine Velik</w:t>
      </w:r>
      <w:r>
        <w:rPr>
          <w:color w:val="000000"/>
          <w:szCs w:val="24"/>
        </w:rPr>
        <w:t>o Trojstvo</w:t>
      </w:r>
      <w:r w:rsidRPr="00A4438E">
        <w:rPr>
          <w:color w:val="000000"/>
          <w:szCs w:val="24"/>
        </w:rPr>
        <w:t>“</w:t>
      </w:r>
      <w:r>
        <w:rPr>
          <w:szCs w:val="24"/>
        </w:rPr>
        <w:t xml:space="preserve"> broj 7/2021,</w:t>
      </w:r>
    </w:p>
    <w:p w:rsid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 w:rsidRPr="00A4438E">
        <w:rPr>
          <w:szCs w:val="24"/>
        </w:rPr>
        <w:t>Prvih izmjena i dopuna proračuna Općine Velik</w:t>
      </w:r>
      <w:r>
        <w:rPr>
          <w:szCs w:val="24"/>
        </w:rPr>
        <w:t>o</w:t>
      </w:r>
      <w:r w:rsidRPr="00A4438E">
        <w:rPr>
          <w:szCs w:val="24"/>
        </w:rPr>
        <w:t xml:space="preserve"> </w:t>
      </w:r>
      <w:r>
        <w:rPr>
          <w:szCs w:val="24"/>
        </w:rPr>
        <w:t>Trojstvo</w:t>
      </w:r>
      <w:r w:rsidRPr="00A4438E">
        <w:rPr>
          <w:szCs w:val="24"/>
        </w:rPr>
        <w:t xml:space="preserve"> za 20</w:t>
      </w:r>
      <w:r>
        <w:rPr>
          <w:szCs w:val="24"/>
        </w:rPr>
        <w:t>22</w:t>
      </w:r>
      <w:r w:rsidRPr="00A4438E">
        <w:rPr>
          <w:szCs w:val="24"/>
        </w:rPr>
        <w:t xml:space="preserve">. godinu usvojenih od strane Općinskog vijeća Općine </w:t>
      </w:r>
      <w:r>
        <w:rPr>
          <w:szCs w:val="24"/>
        </w:rPr>
        <w:t>Veliko Trojstvo</w:t>
      </w:r>
      <w:r w:rsidRPr="00A4438E">
        <w:rPr>
          <w:szCs w:val="24"/>
        </w:rPr>
        <w:t xml:space="preserve"> na </w:t>
      </w:r>
      <w:r>
        <w:rPr>
          <w:szCs w:val="24"/>
        </w:rPr>
        <w:t>7</w:t>
      </w:r>
      <w:r w:rsidRPr="00A4438E">
        <w:rPr>
          <w:szCs w:val="24"/>
        </w:rPr>
        <w:t xml:space="preserve">. sjednici održanoj dana </w:t>
      </w:r>
      <w:r>
        <w:rPr>
          <w:szCs w:val="24"/>
        </w:rPr>
        <w:t>12.4</w:t>
      </w:r>
      <w:r w:rsidRPr="00A4438E">
        <w:rPr>
          <w:szCs w:val="24"/>
        </w:rPr>
        <w:t>.20</w:t>
      </w:r>
      <w:r>
        <w:rPr>
          <w:szCs w:val="24"/>
        </w:rPr>
        <w:t>22</w:t>
      </w:r>
      <w:r w:rsidRPr="00A4438E">
        <w:rPr>
          <w:szCs w:val="24"/>
        </w:rPr>
        <w:t>. godine, a objavljenih u</w:t>
      </w:r>
      <w:r w:rsidRPr="00A4438E">
        <w:rPr>
          <w:color w:val="000000"/>
          <w:szCs w:val="24"/>
        </w:rPr>
        <w:t xml:space="preserve"> „Službenom glasniku Općine Velik</w:t>
      </w:r>
      <w:r>
        <w:rPr>
          <w:color w:val="000000"/>
          <w:szCs w:val="24"/>
        </w:rPr>
        <w:t>o Trojstvo</w:t>
      </w:r>
      <w:r w:rsidRPr="00A4438E">
        <w:rPr>
          <w:color w:val="000000"/>
          <w:szCs w:val="24"/>
        </w:rPr>
        <w:t>“</w:t>
      </w:r>
      <w:r w:rsidRPr="00A4438E">
        <w:rPr>
          <w:szCs w:val="24"/>
        </w:rPr>
        <w:t xml:space="preserve"> br</w:t>
      </w:r>
      <w:r>
        <w:rPr>
          <w:szCs w:val="24"/>
        </w:rPr>
        <w:t>oj 3</w:t>
      </w:r>
      <w:r w:rsidRPr="00A4438E">
        <w:rPr>
          <w:szCs w:val="24"/>
        </w:rPr>
        <w:t>/20</w:t>
      </w:r>
      <w:r>
        <w:rPr>
          <w:szCs w:val="24"/>
        </w:rPr>
        <w:t>22,</w:t>
      </w:r>
    </w:p>
    <w:p w:rsid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 w:rsidRPr="00794645">
        <w:rPr>
          <w:szCs w:val="24"/>
        </w:rPr>
        <w:lastRenderedPageBreak/>
        <w:t>Drugih izmjena i dopuna proračuna Općine Veliko Trojstvo za 202</w:t>
      </w:r>
      <w:r>
        <w:rPr>
          <w:szCs w:val="24"/>
        </w:rPr>
        <w:t>2</w:t>
      </w:r>
      <w:r w:rsidRPr="00794645">
        <w:rPr>
          <w:szCs w:val="24"/>
        </w:rPr>
        <w:t xml:space="preserve">. godinu usvojenih od strane Općinskog vijeća Općine Veliko Trojstvo na </w:t>
      </w:r>
      <w:r>
        <w:rPr>
          <w:szCs w:val="24"/>
        </w:rPr>
        <w:t>9</w:t>
      </w:r>
      <w:r w:rsidRPr="00794645">
        <w:rPr>
          <w:szCs w:val="24"/>
        </w:rPr>
        <w:t xml:space="preserve">. sjednici održanoj dana </w:t>
      </w:r>
      <w:r>
        <w:rPr>
          <w:szCs w:val="24"/>
        </w:rPr>
        <w:t>30</w:t>
      </w:r>
      <w:r w:rsidRPr="00794645">
        <w:rPr>
          <w:szCs w:val="24"/>
        </w:rPr>
        <w:t>.06.202</w:t>
      </w:r>
      <w:r>
        <w:rPr>
          <w:szCs w:val="24"/>
        </w:rPr>
        <w:t>2</w:t>
      </w:r>
      <w:r w:rsidRPr="00794645">
        <w:rPr>
          <w:szCs w:val="24"/>
        </w:rPr>
        <w:t>. godine, a objavljenih u</w:t>
      </w:r>
      <w:r w:rsidRPr="00794645">
        <w:rPr>
          <w:color w:val="000000"/>
          <w:szCs w:val="24"/>
        </w:rPr>
        <w:t xml:space="preserve"> „Službenom glasniku Općine Veliko Trojstvo“</w:t>
      </w:r>
      <w:r w:rsidRPr="00794645">
        <w:rPr>
          <w:szCs w:val="24"/>
        </w:rPr>
        <w:t xml:space="preserve"> broj </w:t>
      </w:r>
      <w:r>
        <w:rPr>
          <w:szCs w:val="24"/>
        </w:rPr>
        <w:t>5</w:t>
      </w:r>
      <w:r w:rsidRPr="00794645">
        <w:rPr>
          <w:szCs w:val="24"/>
        </w:rPr>
        <w:t>/20</w:t>
      </w:r>
      <w:r>
        <w:rPr>
          <w:szCs w:val="24"/>
        </w:rPr>
        <w:t>22,</w:t>
      </w:r>
    </w:p>
    <w:p w:rsid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>
        <w:rPr>
          <w:szCs w:val="24"/>
        </w:rPr>
        <w:t>Trećih</w:t>
      </w:r>
      <w:r w:rsidRPr="00794645">
        <w:rPr>
          <w:szCs w:val="24"/>
        </w:rPr>
        <w:t xml:space="preserve"> izmjena i dopuna proračuna Općine Veliko Trojstvo za 202</w:t>
      </w:r>
      <w:r>
        <w:rPr>
          <w:szCs w:val="24"/>
        </w:rPr>
        <w:t>2</w:t>
      </w:r>
      <w:r w:rsidRPr="00794645">
        <w:rPr>
          <w:szCs w:val="24"/>
        </w:rPr>
        <w:t xml:space="preserve">. godinu usvojenih od strane Općinskog vijeća Općine Veliko Trojstvo na </w:t>
      </w:r>
      <w:r>
        <w:rPr>
          <w:szCs w:val="24"/>
        </w:rPr>
        <w:t>10.</w:t>
      </w:r>
      <w:r w:rsidRPr="00794645">
        <w:rPr>
          <w:szCs w:val="24"/>
        </w:rPr>
        <w:t xml:space="preserve"> sjednici održanoj dana </w:t>
      </w:r>
      <w:r>
        <w:rPr>
          <w:szCs w:val="24"/>
        </w:rPr>
        <w:t>15</w:t>
      </w:r>
      <w:r w:rsidRPr="00794645">
        <w:rPr>
          <w:szCs w:val="24"/>
        </w:rPr>
        <w:t>.0</w:t>
      </w:r>
      <w:r>
        <w:rPr>
          <w:szCs w:val="24"/>
        </w:rPr>
        <w:t>9</w:t>
      </w:r>
      <w:r w:rsidRPr="00794645">
        <w:rPr>
          <w:szCs w:val="24"/>
        </w:rPr>
        <w:t>.202</w:t>
      </w:r>
      <w:r>
        <w:rPr>
          <w:szCs w:val="24"/>
        </w:rPr>
        <w:t>2</w:t>
      </w:r>
      <w:r w:rsidRPr="00794645">
        <w:rPr>
          <w:szCs w:val="24"/>
        </w:rPr>
        <w:t>. godine, a objavljenih u</w:t>
      </w:r>
      <w:r w:rsidRPr="00794645">
        <w:rPr>
          <w:color w:val="000000"/>
          <w:szCs w:val="24"/>
        </w:rPr>
        <w:t xml:space="preserve"> „Službenom glasniku Općine Veliko Trojstvo“</w:t>
      </w:r>
      <w:r w:rsidRPr="00794645">
        <w:rPr>
          <w:szCs w:val="24"/>
        </w:rPr>
        <w:t xml:space="preserve"> broj </w:t>
      </w:r>
      <w:r>
        <w:rPr>
          <w:szCs w:val="24"/>
        </w:rPr>
        <w:t>6</w:t>
      </w:r>
      <w:r w:rsidRPr="00794645">
        <w:rPr>
          <w:szCs w:val="24"/>
        </w:rPr>
        <w:t>/20</w:t>
      </w:r>
      <w:r>
        <w:rPr>
          <w:szCs w:val="24"/>
        </w:rPr>
        <w:t>22,</w:t>
      </w:r>
    </w:p>
    <w:p w:rsid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>
        <w:rPr>
          <w:szCs w:val="24"/>
        </w:rPr>
        <w:t>Četvrtih</w:t>
      </w:r>
      <w:r w:rsidRPr="00794645">
        <w:rPr>
          <w:szCs w:val="24"/>
        </w:rPr>
        <w:t xml:space="preserve"> izmjena i dopuna proračuna Općine Veliko Trojstvo za 202</w:t>
      </w:r>
      <w:r>
        <w:rPr>
          <w:szCs w:val="24"/>
        </w:rPr>
        <w:t>2</w:t>
      </w:r>
      <w:r w:rsidRPr="00794645">
        <w:rPr>
          <w:szCs w:val="24"/>
        </w:rPr>
        <w:t xml:space="preserve">. godinu usvojenih od strane Općinskog vijeća Općine Veliko Trojstvo na </w:t>
      </w:r>
      <w:r>
        <w:rPr>
          <w:szCs w:val="24"/>
        </w:rPr>
        <w:t>11.</w:t>
      </w:r>
      <w:r w:rsidRPr="00794645">
        <w:rPr>
          <w:szCs w:val="24"/>
        </w:rPr>
        <w:t xml:space="preserve"> sjednici održanoj dana </w:t>
      </w:r>
      <w:r>
        <w:rPr>
          <w:szCs w:val="24"/>
        </w:rPr>
        <w:t>03</w:t>
      </w:r>
      <w:r w:rsidRPr="00794645">
        <w:rPr>
          <w:szCs w:val="24"/>
        </w:rPr>
        <w:t>.</w:t>
      </w:r>
      <w:r>
        <w:rPr>
          <w:szCs w:val="24"/>
        </w:rPr>
        <w:t>11</w:t>
      </w:r>
      <w:r w:rsidRPr="00794645">
        <w:rPr>
          <w:szCs w:val="24"/>
        </w:rPr>
        <w:t>.202</w:t>
      </w:r>
      <w:r>
        <w:rPr>
          <w:szCs w:val="24"/>
        </w:rPr>
        <w:t>2</w:t>
      </w:r>
      <w:r w:rsidRPr="00794645">
        <w:rPr>
          <w:szCs w:val="24"/>
        </w:rPr>
        <w:t>. godine, a objavljenih u</w:t>
      </w:r>
      <w:r w:rsidRPr="00794645">
        <w:rPr>
          <w:color w:val="000000"/>
          <w:szCs w:val="24"/>
        </w:rPr>
        <w:t xml:space="preserve"> „Službenom glasniku Općine Veliko Trojstvo“</w:t>
      </w:r>
      <w:r w:rsidRPr="00794645">
        <w:rPr>
          <w:szCs w:val="24"/>
        </w:rPr>
        <w:t xml:space="preserve"> broj </w:t>
      </w:r>
      <w:r>
        <w:rPr>
          <w:szCs w:val="24"/>
        </w:rPr>
        <w:t>7</w:t>
      </w:r>
      <w:r w:rsidRPr="00794645">
        <w:rPr>
          <w:szCs w:val="24"/>
        </w:rPr>
        <w:t>/20</w:t>
      </w:r>
      <w:r>
        <w:rPr>
          <w:szCs w:val="24"/>
        </w:rPr>
        <w:t>22,</w:t>
      </w:r>
    </w:p>
    <w:p w:rsidR="00E05AAA" w:rsidRPr="00E05AAA" w:rsidRDefault="00E05AAA" w:rsidP="00E05AAA">
      <w:pPr>
        <w:pStyle w:val="Odlomakpopisa"/>
        <w:numPr>
          <w:ilvl w:val="0"/>
          <w:numId w:val="16"/>
        </w:numPr>
        <w:spacing w:after="160"/>
        <w:rPr>
          <w:szCs w:val="24"/>
        </w:rPr>
      </w:pPr>
      <w:r>
        <w:rPr>
          <w:szCs w:val="24"/>
        </w:rPr>
        <w:t>Petih</w:t>
      </w:r>
      <w:r w:rsidRPr="00794645">
        <w:rPr>
          <w:szCs w:val="24"/>
        </w:rPr>
        <w:t xml:space="preserve"> izmjena i dopuna proračuna Općine Veliko Trojstvo za 202</w:t>
      </w:r>
      <w:r>
        <w:rPr>
          <w:szCs w:val="24"/>
        </w:rPr>
        <w:t>2</w:t>
      </w:r>
      <w:r w:rsidRPr="00794645">
        <w:rPr>
          <w:szCs w:val="24"/>
        </w:rPr>
        <w:t xml:space="preserve">. godinu usvojenih od strane Općinskog vijeća Općine Veliko Trojstvo na </w:t>
      </w:r>
      <w:r>
        <w:rPr>
          <w:szCs w:val="24"/>
        </w:rPr>
        <w:t>12.</w:t>
      </w:r>
      <w:r w:rsidRPr="00794645">
        <w:rPr>
          <w:szCs w:val="24"/>
        </w:rPr>
        <w:t xml:space="preserve"> sjednici održanoj dana </w:t>
      </w:r>
      <w:r>
        <w:rPr>
          <w:szCs w:val="24"/>
        </w:rPr>
        <w:t>19</w:t>
      </w:r>
      <w:r w:rsidRPr="00794645">
        <w:rPr>
          <w:szCs w:val="24"/>
        </w:rPr>
        <w:t>.</w:t>
      </w:r>
      <w:r>
        <w:rPr>
          <w:szCs w:val="24"/>
        </w:rPr>
        <w:t>12</w:t>
      </w:r>
      <w:r w:rsidRPr="00794645">
        <w:rPr>
          <w:szCs w:val="24"/>
        </w:rPr>
        <w:t>.202</w:t>
      </w:r>
      <w:r>
        <w:rPr>
          <w:szCs w:val="24"/>
        </w:rPr>
        <w:t>2</w:t>
      </w:r>
      <w:r w:rsidRPr="00794645">
        <w:rPr>
          <w:szCs w:val="24"/>
        </w:rPr>
        <w:t>. godine, a objavljenih u</w:t>
      </w:r>
      <w:r w:rsidRPr="00794645">
        <w:rPr>
          <w:color w:val="000000"/>
          <w:szCs w:val="24"/>
        </w:rPr>
        <w:t xml:space="preserve"> „Službenom glasniku Općine Veliko Trojstvo“</w:t>
      </w:r>
      <w:r w:rsidRPr="00794645">
        <w:rPr>
          <w:szCs w:val="24"/>
        </w:rPr>
        <w:t xml:space="preserve"> broj </w:t>
      </w:r>
      <w:r>
        <w:rPr>
          <w:szCs w:val="24"/>
        </w:rPr>
        <w:t>8</w:t>
      </w:r>
      <w:r w:rsidRPr="00794645">
        <w:rPr>
          <w:szCs w:val="24"/>
        </w:rPr>
        <w:t>/20</w:t>
      </w:r>
      <w:r w:rsidR="005E0D71">
        <w:rPr>
          <w:szCs w:val="24"/>
        </w:rPr>
        <w:t>22.</w:t>
      </w:r>
    </w:p>
    <w:p w:rsidR="00890BD3" w:rsidRDefault="00890BD3" w:rsidP="00890BD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160655</wp:posOffset>
                </wp:positionV>
                <wp:extent cx="6269355" cy="0"/>
                <wp:effectExtent l="0" t="0" r="0" b="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5" o:spid="_x0000_s1026" type="#_x0000_t32" style="position:absolute;margin-left:-.65pt;margin-top:12.65pt;width:493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"/>
            </w:pict>
          </mc:Fallback>
        </mc:AlternateContent>
      </w:r>
    </w:p>
    <w:p w:rsidR="00890BD3" w:rsidRPr="000F6C59" w:rsidRDefault="00890BD3" w:rsidP="00890BD3">
      <w:pPr>
        <w:rPr>
          <w:color w:val="FF0000"/>
        </w:rPr>
      </w:pPr>
    </w:p>
    <w:p w:rsidR="00890BD3" w:rsidRPr="00B4621F" w:rsidRDefault="00890BD3" w:rsidP="00890BD3">
      <w:pPr>
        <w:rPr>
          <w:b/>
          <w:bCs/>
        </w:rPr>
      </w:pPr>
      <w:r w:rsidRPr="00B4621F">
        <w:rPr>
          <w:b/>
          <w:bCs/>
        </w:rPr>
        <w:t>Bilješke uz obrazac bilance (BIL)</w:t>
      </w:r>
    </w:p>
    <w:p w:rsidR="00131313" w:rsidRPr="00B4621F" w:rsidRDefault="00131313"/>
    <w:p w:rsidR="00445908" w:rsidRPr="00B4621F" w:rsidRDefault="00445908" w:rsidP="00445908">
      <w:r w:rsidRPr="00B4621F">
        <w:t xml:space="preserve">Ukupna vrijednost </w:t>
      </w:r>
      <w:r w:rsidRPr="00B4621F">
        <w:rPr>
          <w:b/>
        </w:rPr>
        <w:t>imovine</w:t>
      </w:r>
      <w:r w:rsidRPr="00B4621F">
        <w:t xml:space="preserve"> na dan 31.12.202</w:t>
      </w:r>
      <w:r w:rsidR="00B4621F">
        <w:t>2</w:t>
      </w:r>
      <w:r w:rsidRPr="00B4621F">
        <w:t xml:space="preserve">. godine </w:t>
      </w:r>
      <w:r w:rsidRPr="00B4621F">
        <w:rPr>
          <w:b/>
        </w:rPr>
        <w:t>(</w:t>
      </w:r>
      <w:r w:rsidR="00036E14">
        <w:rPr>
          <w:b/>
        </w:rPr>
        <w:t>B001</w:t>
      </w:r>
      <w:r w:rsidRPr="00B4621F">
        <w:rPr>
          <w:b/>
        </w:rPr>
        <w:t>)</w:t>
      </w:r>
      <w:r w:rsidRPr="00B4621F">
        <w:t xml:space="preserve"> iznosi </w:t>
      </w:r>
      <w:r w:rsidR="00036E14">
        <w:t>35.942.543,05</w:t>
      </w:r>
      <w:r w:rsidRPr="00B4621F">
        <w:t xml:space="preserve"> kn, a sastoji se od:</w:t>
      </w:r>
    </w:p>
    <w:p w:rsidR="00445908" w:rsidRPr="00445908" w:rsidRDefault="00036E14" w:rsidP="00445908">
      <w:pPr>
        <w:numPr>
          <w:ilvl w:val="0"/>
          <w:numId w:val="3"/>
        </w:numPr>
      </w:pPr>
      <w:r>
        <w:t>B002</w:t>
      </w:r>
      <w:r w:rsidR="00445908" w:rsidRPr="00445908">
        <w:t xml:space="preserve"> - nefinancijske imovine</w:t>
      </w:r>
      <w:r w:rsidR="00445908">
        <w:tab/>
      </w:r>
      <w:r w:rsidR="00445908" w:rsidRPr="00445908">
        <w:t xml:space="preserve">         </w:t>
      </w:r>
      <w:r>
        <w:t>32.040.332,97</w:t>
      </w:r>
      <w:r w:rsidR="00445908">
        <w:t xml:space="preserve"> kn</w:t>
      </w:r>
    </w:p>
    <w:p w:rsidR="00445908" w:rsidRDefault="00036E14" w:rsidP="00445908">
      <w:pPr>
        <w:numPr>
          <w:ilvl w:val="0"/>
          <w:numId w:val="3"/>
        </w:numPr>
      </w:pPr>
      <w:r>
        <w:t>1</w:t>
      </w:r>
      <w:r w:rsidR="00445908" w:rsidRPr="00445908">
        <w:t xml:space="preserve"> - financijske imovine   </w:t>
      </w:r>
      <w:r w:rsidR="00445908">
        <w:tab/>
        <w:t xml:space="preserve">         </w:t>
      </w:r>
      <w:r>
        <w:tab/>
      </w:r>
      <w:r>
        <w:tab/>
        <w:t>3.902.210,08</w:t>
      </w:r>
      <w:r w:rsidR="00445908">
        <w:t xml:space="preserve"> kn</w:t>
      </w:r>
    </w:p>
    <w:p w:rsidR="001C4E25" w:rsidRDefault="001C4E25" w:rsidP="001C4E25">
      <w:pPr>
        <w:rPr>
          <w:b/>
        </w:rPr>
      </w:pPr>
    </w:p>
    <w:p w:rsidR="001C4E25" w:rsidRPr="001C4E25" w:rsidRDefault="001C4E25" w:rsidP="001C4E25">
      <w:r>
        <w:t>U odnosu na početno stanje imovine u 202</w:t>
      </w:r>
      <w:r w:rsidR="00036E14">
        <w:t>2</w:t>
      </w:r>
      <w:r>
        <w:t>. godini, značajna odstupanja koja su se dogodila za razdoblje siječanj-prosinac i njihovo obrazloženje dano je u nastavku.</w:t>
      </w:r>
    </w:p>
    <w:p w:rsidR="00445908" w:rsidRDefault="00445908" w:rsidP="00445908">
      <w:pPr>
        <w:rPr>
          <w:b/>
        </w:rPr>
      </w:pPr>
    </w:p>
    <w:p w:rsidR="001C4E25" w:rsidRPr="00445908" w:rsidRDefault="00445908" w:rsidP="00445908">
      <w:pPr>
        <w:rPr>
          <w:u w:val="single"/>
        </w:rPr>
      </w:pPr>
      <w:r w:rsidRPr="00445908">
        <w:rPr>
          <w:u w:val="single"/>
        </w:rPr>
        <w:t>NEFINANCIJSKA IMOVINA</w:t>
      </w:r>
    </w:p>
    <w:p w:rsidR="00445908" w:rsidRDefault="00445908" w:rsidP="00445908"/>
    <w:p w:rsidR="001C4E25" w:rsidRDefault="00036E14" w:rsidP="00445908">
      <w:r>
        <w:t>011</w:t>
      </w:r>
      <w:r w:rsidR="00A95194">
        <w:t xml:space="preserve"> – </w:t>
      </w:r>
      <w:r>
        <w:t>Materijalna</w:t>
      </w:r>
      <w:r w:rsidR="001C4E25">
        <w:t xml:space="preserve"> imovina</w:t>
      </w:r>
      <w:r w:rsidR="00A95194">
        <w:t xml:space="preserve">: </w:t>
      </w:r>
      <w:r w:rsidR="001C4E25">
        <w:t xml:space="preserve">bilježi </w:t>
      </w:r>
      <w:r>
        <w:t>povećanje od 2,4%</w:t>
      </w:r>
      <w:r w:rsidR="001C4E25">
        <w:t xml:space="preserve">, a isto se odnosi na </w:t>
      </w:r>
      <w:r>
        <w:t>kupnju z</w:t>
      </w:r>
      <w:r w:rsidRPr="00036E14">
        <w:t>emljišt</w:t>
      </w:r>
      <w:r>
        <w:t>a</w:t>
      </w:r>
      <w:r w:rsidRPr="00036E14">
        <w:t xml:space="preserve"> za dječje igralište u </w:t>
      </w:r>
      <w:proofErr w:type="spellStart"/>
      <w:r w:rsidRPr="00036E14">
        <w:t>Magle</w:t>
      </w:r>
      <w:r>
        <w:t>nči</w:t>
      </w:r>
      <w:proofErr w:type="spellEnd"/>
      <w:r>
        <w:t xml:space="preserve"> - k.o. Veliko Trojstvo, zk.ul.b</w:t>
      </w:r>
      <w:r w:rsidRPr="00036E14">
        <w:t>r. 2612</w:t>
      </w:r>
    </w:p>
    <w:p w:rsidR="00036E14" w:rsidRDefault="00036E14" w:rsidP="00445908"/>
    <w:p w:rsidR="00036E14" w:rsidRDefault="00036E14" w:rsidP="00036E14">
      <w:r>
        <w:t>0212 – Poslovni objekti: biljež</w:t>
      </w:r>
      <w:r w:rsidR="00AC3BDF">
        <w:t>e</w:t>
      </w:r>
      <w:r>
        <w:t xml:space="preserve"> povećanje od 2,3%, a isto se odnosi na </w:t>
      </w:r>
      <w:r w:rsidR="00AC3BDF">
        <w:t>izgradnju objekata: m</w:t>
      </w:r>
      <w:r w:rsidR="00AC3BDF" w:rsidRPr="00AC3BDF">
        <w:t>rtvačnica u Višnjevcu</w:t>
      </w:r>
      <w:r w:rsidR="00AC3BDF">
        <w:t>, d</w:t>
      </w:r>
      <w:r w:rsidR="00AC3BDF" w:rsidRPr="00AC3BDF">
        <w:t xml:space="preserve">ječje igralište u </w:t>
      </w:r>
      <w:proofErr w:type="spellStart"/>
      <w:r w:rsidR="00AC3BDF" w:rsidRPr="00AC3BDF">
        <w:t>Maglenči</w:t>
      </w:r>
      <w:proofErr w:type="spellEnd"/>
      <w:r w:rsidR="00AC3BDF">
        <w:t xml:space="preserve"> te dodatno ulaganje na </w:t>
      </w:r>
      <w:r w:rsidR="00AC3BDF" w:rsidRPr="00AC3BDF">
        <w:t>Sportsko poslovni objekt</w:t>
      </w:r>
      <w:r w:rsidR="00AC3BDF">
        <w:t>u u</w:t>
      </w:r>
      <w:r w:rsidR="00AC3BDF" w:rsidRPr="00AC3BDF">
        <w:t xml:space="preserve"> </w:t>
      </w:r>
      <w:proofErr w:type="spellStart"/>
      <w:r w:rsidR="00AC3BDF" w:rsidRPr="00AC3BDF">
        <w:t>Ćurlov</w:t>
      </w:r>
      <w:r w:rsidR="00AC3BDF">
        <w:t>cu</w:t>
      </w:r>
      <w:proofErr w:type="spellEnd"/>
    </w:p>
    <w:p w:rsidR="00AC3BDF" w:rsidRDefault="00AC3BDF" w:rsidP="00036E14"/>
    <w:p w:rsidR="00AC3BDF" w:rsidRDefault="00AC3BDF" w:rsidP="00036E14">
      <w:r>
        <w:t xml:space="preserve">0213 – Ceste: bilježe povećanje od 1%, a isto se odnosi na izgradnju i asfaltiranje ceste u ulici </w:t>
      </w:r>
      <w:proofErr w:type="spellStart"/>
      <w:r>
        <w:t>Jovača</w:t>
      </w:r>
      <w:proofErr w:type="spellEnd"/>
      <w:r>
        <w:t>, te</w:t>
      </w:r>
      <w:r w:rsidRPr="00AC3BDF">
        <w:t xml:space="preserve"> </w:t>
      </w:r>
      <w:r>
        <w:t>i</w:t>
      </w:r>
      <w:r w:rsidRPr="00AC3BDF">
        <w:t>zgradnja i uređenje parkirališta i okoliša u V</w:t>
      </w:r>
      <w:r>
        <w:t>elikom Trojstvu - NC Vinogradska I</w:t>
      </w:r>
    </w:p>
    <w:p w:rsidR="00A95194" w:rsidRDefault="00A95194" w:rsidP="00445908"/>
    <w:p w:rsidR="00AC3BDF" w:rsidRDefault="00AC3BDF" w:rsidP="00445908">
      <w:r>
        <w:t>0221- Uredska oprema i namještaja: bilježi smanjenje od 4,8%, a odnosi se na rashodovana sredstva, a najvećim dijelom na sredstva iz doma u Velikom Trojstvu rashodovana zbog dotrajalosti te  nadolazeće rekonstrukcije i opremanja građevine društvene i javne namjene – Kulturni centar.</w:t>
      </w:r>
    </w:p>
    <w:p w:rsidR="00AC3BDF" w:rsidRDefault="00AC3BDF" w:rsidP="00445908"/>
    <w:p w:rsidR="00AC3BDF" w:rsidRDefault="00AC3BDF" w:rsidP="00445908">
      <w:r>
        <w:t>0222-</w:t>
      </w:r>
      <w:r w:rsidRPr="00AC3BDF">
        <w:t xml:space="preserve"> </w:t>
      </w:r>
      <w:r>
        <w:t xml:space="preserve">Komunikacijska oprema: bilježi smanjenje od 30%, a odnosi se na rashodovanje dotrajalih i </w:t>
      </w:r>
      <w:r w:rsidR="00F73E02">
        <w:t>neuporabivih sredstava</w:t>
      </w:r>
      <w:r>
        <w:t xml:space="preserve"> </w:t>
      </w:r>
    </w:p>
    <w:p w:rsidR="00AC3BDF" w:rsidRDefault="00AC3BDF" w:rsidP="00445908"/>
    <w:p w:rsidR="00F73E02" w:rsidRDefault="00F73E02" w:rsidP="00F73E02">
      <w:r>
        <w:t>0223-</w:t>
      </w:r>
      <w:r w:rsidRPr="00AC3BDF">
        <w:t xml:space="preserve"> </w:t>
      </w:r>
      <w:r>
        <w:t xml:space="preserve">Oprema za održavanje i zaštitu: bilježi povećanje od 15,5%, a odnosi se na </w:t>
      </w:r>
      <w:proofErr w:type="spellStart"/>
      <w:r>
        <w:t>postavz</w:t>
      </w:r>
      <w:proofErr w:type="spellEnd"/>
      <w:r>
        <w:t xml:space="preserve"> klima uređaja u domove </w:t>
      </w:r>
      <w:proofErr w:type="spellStart"/>
      <w:r>
        <w:t>Kegljevac</w:t>
      </w:r>
      <w:proofErr w:type="spellEnd"/>
      <w:r>
        <w:t xml:space="preserve">, Martinac, Višnjevac i </w:t>
      </w:r>
      <w:proofErr w:type="spellStart"/>
      <w:r>
        <w:t>Ćurlovac</w:t>
      </w:r>
      <w:proofErr w:type="spellEnd"/>
      <w:r>
        <w:t xml:space="preserve"> </w:t>
      </w:r>
    </w:p>
    <w:p w:rsidR="00812B8C" w:rsidRDefault="00812B8C" w:rsidP="00445908"/>
    <w:p w:rsidR="00984B51" w:rsidRDefault="00F73E02" w:rsidP="00445908">
      <w:r>
        <w:t>0227</w:t>
      </w:r>
      <w:r w:rsidR="00984B51">
        <w:t xml:space="preserve"> – Uređaji, strojevi i oprema za ostale namjene: bilježi povećanje od </w:t>
      </w:r>
      <w:r>
        <w:t>17</w:t>
      </w:r>
      <w:r w:rsidR="00984B51">
        <w:t xml:space="preserve">%, a odnosi se na </w:t>
      </w:r>
      <w:r>
        <w:t>nabavu</w:t>
      </w:r>
      <w:r w:rsidR="001B2504">
        <w:t>:</w:t>
      </w:r>
      <w:r>
        <w:t xml:space="preserve"> vanjskih kamina – Vidikovac</w:t>
      </w:r>
      <w:r w:rsidR="001B2504">
        <w:t xml:space="preserve">, oprema sa klupom i odrom - </w:t>
      </w:r>
      <w:r w:rsidRPr="00F73E02">
        <w:t xml:space="preserve">Mrtvačnica u </w:t>
      </w:r>
      <w:proofErr w:type="spellStart"/>
      <w:r w:rsidRPr="00F73E02">
        <w:t>Ćurlovcu</w:t>
      </w:r>
      <w:proofErr w:type="spellEnd"/>
      <w:r w:rsidR="001B2504">
        <w:t>, opremanje stana za izbjeglice iz Ukrajine, nabavu štandova s tendama – Etno park, nabavu k</w:t>
      </w:r>
      <w:r w:rsidRPr="00F73E02">
        <w:t>omunaln</w:t>
      </w:r>
      <w:r w:rsidR="001B2504">
        <w:t>e</w:t>
      </w:r>
      <w:r w:rsidR="007F1C69">
        <w:t xml:space="preserve"> oprema - </w:t>
      </w:r>
      <w:proofErr w:type="spellStart"/>
      <w:r w:rsidR="007F1C69">
        <w:t>kranski</w:t>
      </w:r>
      <w:proofErr w:type="spellEnd"/>
      <w:r w:rsidRPr="00F73E02">
        <w:t xml:space="preserve"> </w:t>
      </w:r>
      <w:proofErr w:type="spellStart"/>
      <w:r w:rsidRPr="00F73E02">
        <w:t>malčer</w:t>
      </w:r>
      <w:proofErr w:type="spellEnd"/>
      <w:r w:rsidR="001B2504">
        <w:t>,</w:t>
      </w:r>
      <w:r w:rsidRPr="00F73E02">
        <w:t xml:space="preserve"> </w:t>
      </w:r>
      <w:r w:rsidR="001B2504">
        <w:t xml:space="preserve">nabava </w:t>
      </w:r>
      <w:r w:rsidR="001B2504" w:rsidRPr="00F73E02">
        <w:t>jedr</w:t>
      </w:r>
      <w:r w:rsidR="001B2504">
        <w:t>a</w:t>
      </w:r>
      <w:r w:rsidR="001B2504" w:rsidRPr="00F73E02">
        <w:t xml:space="preserve"> za sjenilo</w:t>
      </w:r>
      <w:r w:rsidR="001B2504">
        <w:t xml:space="preserve"> -</w:t>
      </w:r>
      <w:r w:rsidR="001B2504" w:rsidRPr="00F73E02">
        <w:t xml:space="preserve"> </w:t>
      </w:r>
      <w:r w:rsidR="001B2504">
        <w:t>Dječje igralište kod vrtića, te nabava jarbola i zastava ispred zgrade Općine.</w:t>
      </w:r>
    </w:p>
    <w:p w:rsidR="001B2504" w:rsidRDefault="001B2504" w:rsidP="00445908"/>
    <w:p w:rsidR="00984B51" w:rsidRDefault="001B2504" w:rsidP="00445908">
      <w:r>
        <w:t>0231</w:t>
      </w:r>
      <w:r w:rsidR="00984B51">
        <w:t xml:space="preserve"> – Prijevozna sredstva u cestovnom prometu: bilježe povećanje od </w:t>
      </w:r>
      <w:r>
        <w:t>22</w:t>
      </w:r>
      <w:r w:rsidR="00984B51">
        <w:t xml:space="preserve">%, a odnosi se na nabavu </w:t>
      </w:r>
      <w:r>
        <w:t>t</w:t>
      </w:r>
      <w:r w:rsidRPr="001B2504">
        <w:t>raktor</w:t>
      </w:r>
      <w:r>
        <w:t>a -</w:t>
      </w:r>
      <w:r w:rsidRPr="001B2504">
        <w:t xml:space="preserve"> </w:t>
      </w:r>
      <w:proofErr w:type="spellStart"/>
      <w:r w:rsidRPr="001B2504">
        <w:t>John</w:t>
      </w:r>
      <w:proofErr w:type="spellEnd"/>
      <w:r w:rsidRPr="001B2504">
        <w:t xml:space="preserve"> Deere 5090M </w:t>
      </w:r>
      <w:proofErr w:type="spellStart"/>
      <w:r w:rsidRPr="001B2504">
        <w:t>g.p</w:t>
      </w:r>
      <w:proofErr w:type="spellEnd"/>
      <w:r w:rsidRPr="001B2504">
        <w:t>. 2012</w:t>
      </w:r>
      <w:r>
        <w:t>.</w:t>
      </w:r>
    </w:p>
    <w:p w:rsidR="00984B51" w:rsidRDefault="00984B51" w:rsidP="00445908"/>
    <w:p w:rsidR="00984B51" w:rsidRDefault="001B2504" w:rsidP="00445908">
      <w:r>
        <w:t>051- Građevinski objekti u pripremi: bilježe povećanje od 58,3%, a odnosi se na rekonstrukciju i opremanje građevine društvene i javne namjene – Kulturni centar u Velikom Trojstvu.</w:t>
      </w:r>
    </w:p>
    <w:p w:rsidR="00984B51" w:rsidRDefault="00984B51" w:rsidP="00445908"/>
    <w:p w:rsidR="00F003B4" w:rsidRPr="001D1D51" w:rsidRDefault="001D1D51" w:rsidP="00445908">
      <w:pPr>
        <w:rPr>
          <w:u w:val="single"/>
        </w:rPr>
      </w:pPr>
      <w:r w:rsidRPr="001D1D51">
        <w:rPr>
          <w:u w:val="single"/>
        </w:rPr>
        <w:t>FINANCIJSKA IMOVINA</w:t>
      </w:r>
    </w:p>
    <w:p w:rsidR="001D1D51" w:rsidRDefault="001D1D51" w:rsidP="00445908"/>
    <w:p w:rsidR="00881D87" w:rsidRDefault="00672D62" w:rsidP="00445908">
      <w:r>
        <w:t>1</w:t>
      </w:r>
      <w:r w:rsidR="001D1D51">
        <w:t xml:space="preserve"> – Financijska imovina – stanje od </w:t>
      </w:r>
      <w:r>
        <w:t>3.902.210,08</w:t>
      </w:r>
      <w:r w:rsidR="001D1D51">
        <w:t xml:space="preserve"> kn odnosi se na novac </w:t>
      </w:r>
      <w:r w:rsidR="00881D87">
        <w:t>u banci i blagajni</w:t>
      </w:r>
      <w:r w:rsidR="001D1D51">
        <w:t xml:space="preserve"> na kraju razdoblja (</w:t>
      </w:r>
      <w:r>
        <w:t>11</w:t>
      </w:r>
      <w:r w:rsidR="001D1D51">
        <w:t xml:space="preserve">) u iznosu od </w:t>
      </w:r>
      <w:r>
        <w:t>3.207.594,74</w:t>
      </w:r>
      <w:r w:rsidR="001D1D51">
        <w:t xml:space="preserve"> kn, na potraživanja za naknade koje se refundiraju (</w:t>
      </w:r>
      <w:r>
        <w:t>129</w:t>
      </w:r>
      <w:r w:rsidR="001D1D51">
        <w:t xml:space="preserve">) u iznosu od </w:t>
      </w:r>
      <w:r>
        <w:t>54.892,45</w:t>
      </w:r>
      <w:r w:rsidR="001D1D51">
        <w:t xml:space="preserve"> kn, </w:t>
      </w:r>
      <w:r w:rsidR="00881D87">
        <w:t>na dionice (</w:t>
      </w:r>
      <w:r>
        <w:t>15</w:t>
      </w:r>
      <w:r w:rsidR="00881D87">
        <w:t>) u iznosu od 50.000 kn, na potraživanja za prihode poslovanja (</w:t>
      </w:r>
      <w:r>
        <w:t>16</w:t>
      </w:r>
      <w:r w:rsidR="00881D87">
        <w:t xml:space="preserve">) u iznosu od </w:t>
      </w:r>
      <w:r>
        <w:t>492.369,47 kn</w:t>
      </w:r>
      <w:r w:rsidR="00881D87">
        <w:t xml:space="preserve">, </w:t>
      </w:r>
      <w:r w:rsidR="00214C94">
        <w:t>te na potraživanja od prodaje nefinancijske imovine (</w:t>
      </w:r>
      <w:r>
        <w:t>17</w:t>
      </w:r>
      <w:r w:rsidR="00214C94">
        <w:t xml:space="preserve">) u iznosu od </w:t>
      </w:r>
      <w:r>
        <w:t>783,27</w:t>
      </w:r>
      <w:r w:rsidR="00214C94">
        <w:t xml:space="preserve"> kn i rashode budućeg </w:t>
      </w:r>
      <w:r w:rsidR="008B096B">
        <w:t xml:space="preserve">razdoblja u iznosu od </w:t>
      </w:r>
      <w:r>
        <w:t>96.570,15</w:t>
      </w:r>
      <w:r w:rsidR="008B096B">
        <w:t xml:space="preserve"> kn. </w:t>
      </w:r>
    </w:p>
    <w:p w:rsidR="00672D62" w:rsidRDefault="00672D62" w:rsidP="00445908">
      <w:r>
        <w:t>Potraživanja za naknade koje se refundiraju (129) smanjena su za 57,5% zbog veće naplativosti od strane Komunalija vodovod d.o.o. Povećanje prihoda poslovanja (16) u najvećoj mjeri odnosi se na povećanje potraživanja za komunalnu naknadu, zbog veće zaduženosti stambenih prostora, uslijed revizije i usklade površina.</w:t>
      </w:r>
    </w:p>
    <w:p w:rsidR="004838C6" w:rsidRPr="0096149E" w:rsidRDefault="004838C6" w:rsidP="004838C6">
      <w:pPr>
        <w:jc w:val="center"/>
        <w:rPr>
          <w:color w:val="000000"/>
          <w:sz w:val="12"/>
          <w:szCs w:val="12"/>
        </w:rPr>
      </w:pPr>
    </w:p>
    <w:p w:rsidR="004838C6" w:rsidRPr="004838C6" w:rsidRDefault="004838C6" w:rsidP="004838C6">
      <w:pPr>
        <w:rPr>
          <w:color w:val="000000"/>
        </w:rPr>
      </w:pPr>
      <w:r w:rsidRPr="004838C6">
        <w:rPr>
          <w:color w:val="000000"/>
        </w:rPr>
        <w:t>Potraživanja s čijom se naplatom kasni:</w:t>
      </w:r>
    </w:p>
    <w:p w:rsidR="004838C6" w:rsidRPr="004838C6" w:rsidRDefault="004838C6" w:rsidP="004838C6">
      <w:pPr>
        <w:numPr>
          <w:ilvl w:val="0"/>
          <w:numId w:val="19"/>
        </w:numPr>
        <w:rPr>
          <w:color w:val="000000"/>
        </w:rPr>
      </w:pPr>
      <w:r w:rsidRPr="004838C6">
        <w:rPr>
          <w:color w:val="000000"/>
        </w:rPr>
        <w:t xml:space="preserve">između jedne i tri godine, vrijednost potraživanja </w:t>
      </w:r>
      <w:r w:rsidRPr="004838C6">
        <w:t>u iznosu od 158.959,96 kn</w:t>
      </w:r>
      <w:r w:rsidRPr="004838C6">
        <w:rPr>
          <w:color w:val="000000"/>
        </w:rPr>
        <w:t xml:space="preserve"> ispravlj</w:t>
      </w:r>
      <w:r>
        <w:rPr>
          <w:color w:val="000000"/>
        </w:rPr>
        <w:t>eno je</w:t>
      </w:r>
      <w:r w:rsidRPr="004838C6">
        <w:rPr>
          <w:color w:val="000000"/>
        </w:rPr>
        <w:t xml:space="preserve"> po stopi od 50 %,</w:t>
      </w:r>
    </w:p>
    <w:p w:rsidR="004838C6" w:rsidRPr="004838C6" w:rsidRDefault="004838C6" w:rsidP="004838C6">
      <w:pPr>
        <w:numPr>
          <w:ilvl w:val="0"/>
          <w:numId w:val="19"/>
        </w:numPr>
        <w:rPr>
          <w:color w:val="000000"/>
        </w:rPr>
      </w:pPr>
      <w:r w:rsidRPr="004838C6">
        <w:rPr>
          <w:color w:val="000000"/>
        </w:rPr>
        <w:t xml:space="preserve">iznad tri godine, vrijednost potraživanja u iznosu </w:t>
      </w:r>
      <w:r w:rsidRPr="004838C6">
        <w:t>od 127.101,99 kn</w:t>
      </w:r>
      <w:r w:rsidRPr="004838C6">
        <w:rPr>
          <w:color w:val="000000"/>
        </w:rPr>
        <w:t xml:space="preserve"> ispravlj</w:t>
      </w:r>
      <w:r>
        <w:rPr>
          <w:color w:val="000000"/>
        </w:rPr>
        <w:t>eno</w:t>
      </w:r>
      <w:r w:rsidRPr="004838C6">
        <w:rPr>
          <w:color w:val="000000"/>
        </w:rPr>
        <w:t xml:space="preserve"> </w:t>
      </w:r>
      <w:r>
        <w:rPr>
          <w:color w:val="000000"/>
        </w:rPr>
        <w:t>je</w:t>
      </w:r>
      <w:r w:rsidRPr="004838C6">
        <w:rPr>
          <w:color w:val="000000"/>
        </w:rPr>
        <w:t xml:space="preserve"> po stopi od 100 %.</w:t>
      </w:r>
    </w:p>
    <w:p w:rsidR="00FA01AF" w:rsidRDefault="00FA01AF" w:rsidP="00445908"/>
    <w:p w:rsidR="00FA01AF" w:rsidRDefault="00FA01AF" w:rsidP="00FA01AF">
      <w:r>
        <w:t xml:space="preserve">Ukupna vrijednost </w:t>
      </w:r>
      <w:r>
        <w:rPr>
          <w:b/>
        </w:rPr>
        <w:t>obveza</w:t>
      </w:r>
      <w:r>
        <w:t xml:space="preserve"> na dan </w:t>
      </w:r>
      <w:r w:rsidRPr="00406D00">
        <w:t>31.12.20</w:t>
      </w:r>
      <w:r>
        <w:t>2</w:t>
      </w:r>
      <w:r w:rsidR="00672D62">
        <w:t>2</w:t>
      </w:r>
      <w:r w:rsidRPr="00406D00">
        <w:t xml:space="preserve">. godine </w:t>
      </w:r>
      <w:r w:rsidRPr="00F003B4">
        <w:rPr>
          <w:b/>
        </w:rPr>
        <w:t>(</w:t>
      </w:r>
      <w:r w:rsidR="00E05DA1">
        <w:rPr>
          <w:b/>
        </w:rPr>
        <w:t>2</w:t>
      </w:r>
      <w:r w:rsidRPr="00F003B4">
        <w:rPr>
          <w:b/>
        </w:rPr>
        <w:t>)</w:t>
      </w:r>
      <w:r w:rsidRPr="00406D00">
        <w:t xml:space="preserve"> iznosi </w:t>
      </w:r>
      <w:r w:rsidR="00E05DA1">
        <w:t>726.278,05</w:t>
      </w:r>
      <w:r w:rsidRPr="00406D00">
        <w:t xml:space="preserve"> kn,</w:t>
      </w:r>
      <w:r>
        <w:t xml:space="preserve"> a sastoji se od:</w:t>
      </w:r>
    </w:p>
    <w:p w:rsidR="00FA01AF" w:rsidRDefault="00FA01AF" w:rsidP="00FA01AF"/>
    <w:p w:rsidR="00FA01AF" w:rsidRPr="00445908" w:rsidRDefault="00E05DA1" w:rsidP="00FA01AF">
      <w:r>
        <w:t>231</w:t>
      </w:r>
      <w:r w:rsidR="00FA01AF" w:rsidRPr="00445908">
        <w:t xml:space="preserve"> </w:t>
      </w:r>
      <w:r w:rsidR="00FA01AF">
        <w:t>–</w:t>
      </w:r>
      <w:r w:rsidR="00FA01AF" w:rsidRPr="00445908">
        <w:t xml:space="preserve"> </w:t>
      </w:r>
      <w:r w:rsidR="00FA01AF">
        <w:t>obveze za zaposlene</w:t>
      </w:r>
      <w:r w:rsidR="00FA01AF">
        <w:tab/>
        <w:t xml:space="preserve">      </w:t>
      </w:r>
      <w:r w:rsidR="00FA01AF">
        <w:tab/>
      </w:r>
      <w:r w:rsidR="00FA01AF">
        <w:tab/>
      </w:r>
      <w:r w:rsidR="00DF6967">
        <w:tab/>
      </w:r>
      <w:r>
        <w:tab/>
        <w:t>149.385,59</w:t>
      </w:r>
      <w:r w:rsidR="00FA01AF">
        <w:t xml:space="preserve"> kn</w:t>
      </w:r>
    </w:p>
    <w:p w:rsidR="00FA01AF" w:rsidRDefault="00E05DA1" w:rsidP="00FA01AF">
      <w:r>
        <w:t>232</w:t>
      </w:r>
      <w:r w:rsidR="00FA01AF" w:rsidRPr="00445908">
        <w:t xml:space="preserve"> </w:t>
      </w:r>
      <w:r w:rsidR="00FA01AF">
        <w:t>–</w:t>
      </w:r>
      <w:r w:rsidR="00FA01AF" w:rsidRPr="00445908">
        <w:t xml:space="preserve"> </w:t>
      </w:r>
      <w:r w:rsidR="00FA01AF">
        <w:t>obveze za materijalne rashode</w:t>
      </w:r>
      <w:r w:rsidR="00FA01AF" w:rsidRPr="00445908">
        <w:t xml:space="preserve">   </w:t>
      </w:r>
      <w:r w:rsidR="00FA01AF">
        <w:tab/>
        <w:t xml:space="preserve">         </w:t>
      </w:r>
      <w:r w:rsidR="00FA01AF">
        <w:tab/>
      </w:r>
      <w:r w:rsidR="00DF6967">
        <w:tab/>
      </w:r>
      <w:r>
        <w:t>132.047,52</w:t>
      </w:r>
      <w:r w:rsidR="00FA01AF">
        <w:t xml:space="preserve"> kn</w:t>
      </w:r>
    </w:p>
    <w:p w:rsidR="00FA01AF" w:rsidRDefault="00E05DA1" w:rsidP="00FA01AF">
      <w:r>
        <w:t>234</w:t>
      </w:r>
      <w:r w:rsidR="00FA01AF">
        <w:t xml:space="preserve"> – obveze za financijske rashode</w:t>
      </w:r>
      <w:r w:rsidR="00FA01AF">
        <w:tab/>
      </w:r>
      <w:r w:rsidR="00FA01AF">
        <w:tab/>
      </w:r>
      <w:r w:rsidR="00DF6967">
        <w:tab/>
      </w:r>
      <w:r>
        <w:tab/>
        <w:t>2.423,83</w:t>
      </w:r>
      <w:r w:rsidR="00FA01AF">
        <w:t xml:space="preserve"> kn</w:t>
      </w:r>
    </w:p>
    <w:p w:rsidR="00DF6967" w:rsidRDefault="00E05DA1" w:rsidP="00FA01AF">
      <w:r>
        <w:t>237</w:t>
      </w:r>
      <w:r w:rsidR="00382198">
        <w:t xml:space="preserve"> – </w:t>
      </w:r>
      <w:r w:rsidR="00DF6967">
        <w:t xml:space="preserve">obveze za naknade građanima i kućanstvima </w:t>
      </w:r>
      <w:r w:rsidR="00DF6967">
        <w:tab/>
      </w:r>
      <w:r>
        <w:tab/>
        <w:t>11.792,23</w:t>
      </w:r>
      <w:r w:rsidR="00DF6967">
        <w:t xml:space="preserve"> kn</w:t>
      </w:r>
    </w:p>
    <w:p w:rsidR="00FA01AF" w:rsidRDefault="00E05DA1" w:rsidP="00FA01AF">
      <w:r>
        <w:t>239</w:t>
      </w:r>
      <w:r w:rsidR="00DF6967">
        <w:t xml:space="preserve"> – ostale tekuće obveze</w:t>
      </w:r>
      <w:r w:rsidR="00FA01AF">
        <w:tab/>
      </w:r>
      <w:r w:rsidR="00DF6967">
        <w:tab/>
      </w:r>
      <w:r w:rsidR="00DF6967">
        <w:tab/>
      </w:r>
      <w:r w:rsidR="00DF6967">
        <w:tab/>
      </w:r>
      <w:r>
        <w:tab/>
        <w:t>292.020,44</w:t>
      </w:r>
      <w:r w:rsidR="00FA01AF">
        <w:t xml:space="preserve"> kn</w:t>
      </w:r>
    </w:p>
    <w:p w:rsidR="00DF6967" w:rsidRDefault="00E05DA1" w:rsidP="00FA01AF">
      <w:r>
        <w:t>24</w:t>
      </w:r>
      <w:r w:rsidR="00DF6967">
        <w:t xml:space="preserve"> – obveze za nabavu nefinancijske imovine</w:t>
      </w:r>
      <w:r w:rsidR="00DF6967">
        <w:tab/>
      </w:r>
      <w:r>
        <w:tab/>
        <w:t>138.608,44</w:t>
      </w:r>
      <w:r w:rsidR="00DF6967">
        <w:t xml:space="preserve"> kn</w:t>
      </w:r>
    </w:p>
    <w:p w:rsidR="00DF6967" w:rsidRDefault="00DF6967" w:rsidP="00FA01AF">
      <w:r>
        <w:t xml:space="preserve"> </w:t>
      </w:r>
    </w:p>
    <w:p w:rsidR="00DF6967" w:rsidRDefault="00DF6967" w:rsidP="00FA01AF">
      <w:r>
        <w:t xml:space="preserve">Iznos od </w:t>
      </w:r>
      <w:r w:rsidR="00E05DA1">
        <w:t>302,00</w:t>
      </w:r>
      <w:r>
        <w:t xml:space="preserve"> kn odnosi se na dospjele obveze, dok se iznos od </w:t>
      </w:r>
      <w:r w:rsidR="00E05DA1">
        <w:t>725.976,05</w:t>
      </w:r>
      <w:r>
        <w:t xml:space="preserve"> kn odnosi na nedospjele obveze.</w:t>
      </w:r>
    </w:p>
    <w:p w:rsidR="00E05DA1" w:rsidRDefault="00E05DA1" w:rsidP="00FA01AF">
      <w:r>
        <w:lastRenderedPageBreak/>
        <w:t xml:space="preserve">Obveze za zaposlene povećane su za 80,9% iz razloga što je zaposleno dodatnih 10 </w:t>
      </w:r>
      <w:proofErr w:type="spellStart"/>
      <w:r>
        <w:t>gerontodomačica</w:t>
      </w:r>
      <w:proofErr w:type="spellEnd"/>
      <w:r>
        <w:t xml:space="preserve"> na projektu Zaželi – „</w:t>
      </w:r>
      <w:proofErr w:type="spellStart"/>
      <w:r>
        <w:t>Trojačke</w:t>
      </w:r>
      <w:proofErr w:type="spellEnd"/>
      <w:r>
        <w:t xml:space="preserve"> ruže“-faza III.</w:t>
      </w:r>
    </w:p>
    <w:p w:rsidR="00E05DA1" w:rsidRDefault="00E05DA1" w:rsidP="00FA01AF">
      <w:r>
        <w:t xml:space="preserve">Povećanje od 64,9% na obvezama za ostale financijske rashode odnosi se na bankarske usluge za vođenje računa i </w:t>
      </w:r>
      <w:proofErr w:type="spellStart"/>
      <w:r>
        <w:t>podračuna</w:t>
      </w:r>
      <w:proofErr w:type="spellEnd"/>
      <w:r>
        <w:t xml:space="preserve"> projekta Zaželi.</w:t>
      </w:r>
    </w:p>
    <w:p w:rsidR="00E05DA1" w:rsidRDefault="00093DB2" w:rsidP="00FA01AF">
      <w:r>
        <w:t xml:space="preserve">Povećanje ostalih tekućih obveza u najvećoj mjeri odnosi se na obveze za jamčevine za ozbiljnost ponude u iznosu od 150.000,00 kn od strane </w:t>
      </w:r>
      <w:r w:rsidRPr="00093DB2">
        <w:t>ČESMA-USLUGE d.o.o.</w:t>
      </w:r>
    </w:p>
    <w:p w:rsidR="00093DB2" w:rsidRPr="00445908" w:rsidRDefault="00093DB2" w:rsidP="00FA01AF">
      <w:r>
        <w:t>Povećanje obveza za nabavu nefinancijske imovine odnosi se na 3. Privremenu situaciju -</w:t>
      </w:r>
      <w:r w:rsidRPr="00093DB2">
        <w:t>Građenje građevine javne i društvene na</w:t>
      </w:r>
      <w:r>
        <w:t>mjene - mrtvačnica u Višnjevcu.</w:t>
      </w:r>
    </w:p>
    <w:p w:rsidR="00FA01AF" w:rsidRDefault="00FA01AF" w:rsidP="00445908"/>
    <w:p w:rsidR="00FA01AF" w:rsidRDefault="00FA01AF" w:rsidP="00FA01AF">
      <w:r w:rsidRPr="00A115A0">
        <w:t>Uk</w:t>
      </w:r>
      <w:r>
        <w:t xml:space="preserve">upna vrijednost </w:t>
      </w:r>
      <w:r>
        <w:rPr>
          <w:b/>
        </w:rPr>
        <w:t>vlastitih izvora</w:t>
      </w:r>
      <w:r>
        <w:t xml:space="preserve"> na dan </w:t>
      </w:r>
      <w:r w:rsidRPr="00406D00">
        <w:t>31.12.20</w:t>
      </w:r>
      <w:r>
        <w:t>2</w:t>
      </w:r>
      <w:r w:rsidR="00093DB2">
        <w:t>2</w:t>
      </w:r>
      <w:r w:rsidRPr="00406D00">
        <w:t xml:space="preserve">. godine </w:t>
      </w:r>
      <w:r w:rsidRPr="00F003B4">
        <w:rPr>
          <w:b/>
        </w:rPr>
        <w:t>(</w:t>
      </w:r>
      <w:r w:rsidR="00093DB2">
        <w:rPr>
          <w:b/>
        </w:rPr>
        <w:t>9</w:t>
      </w:r>
      <w:r w:rsidRPr="00F003B4">
        <w:rPr>
          <w:b/>
        </w:rPr>
        <w:t>)</w:t>
      </w:r>
      <w:r w:rsidRPr="00406D00">
        <w:t xml:space="preserve"> iznosi </w:t>
      </w:r>
      <w:r w:rsidR="00093DB2">
        <w:t>35.216.265,00</w:t>
      </w:r>
      <w:r w:rsidRPr="00406D00">
        <w:t xml:space="preserve"> kn,</w:t>
      </w:r>
      <w:r>
        <w:t xml:space="preserve"> a sastoji se od:</w:t>
      </w:r>
    </w:p>
    <w:p w:rsidR="00FE76C1" w:rsidRDefault="00FE76C1"/>
    <w:p w:rsidR="00FE76C1" w:rsidRDefault="00093DB2">
      <w:r>
        <w:t>9111</w:t>
      </w:r>
      <w:r w:rsidR="00FE76C1">
        <w:t xml:space="preserve"> – vlastiti izvori iz proračuna </w:t>
      </w:r>
      <w:r w:rsidR="00FE76C1">
        <w:tab/>
      </w:r>
      <w:r w:rsidR="00FE76C1">
        <w:tab/>
      </w:r>
      <w:r w:rsidR="00A115A0">
        <w:tab/>
      </w:r>
      <w:r w:rsidR="004C6D85">
        <w:tab/>
      </w:r>
      <w:r>
        <w:tab/>
        <w:t>32.090.332,97</w:t>
      </w:r>
      <w:r w:rsidR="00FE76C1">
        <w:t xml:space="preserve"> kn</w:t>
      </w:r>
    </w:p>
    <w:p w:rsidR="00FE76C1" w:rsidRDefault="00093DB2">
      <w:r>
        <w:t>92211</w:t>
      </w:r>
      <w:r w:rsidR="00FE76C1">
        <w:t xml:space="preserve"> – </w:t>
      </w:r>
      <w:r w:rsidR="00A115A0">
        <w:t>Višak</w:t>
      </w:r>
      <w:r w:rsidR="00FE76C1">
        <w:t xml:space="preserve"> prihoda poslovanja</w:t>
      </w:r>
      <w:r w:rsidR="00FE76C1">
        <w:tab/>
      </w:r>
      <w:r w:rsidR="00FE76C1">
        <w:tab/>
      </w:r>
      <w:r w:rsidR="00A115A0">
        <w:tab/>
      </w:r>
      <w:r w:rsidR="004C6D85">
        <w:tab/>
      </w:r>
      <w:r>
        <w:tab/>
        <w:t>4.111.180,58</w:t>
      </w:r>
      <w:r w:rsidR="00FE76C1">
        <w:t xml:space="preserve"> kn</w:t>
      </w:r>
    </w:p>
    <w:p w:rsidR="00A115A0" w:rsidRDefault="00093DB2">
      <w:r>
        <w:t>92222</w:t>
      </w:r>
      <w:r w:rsidR="00A115A0">
        <w:t xml:space="preserve"> – Manjak prihoda od nefinancijske imovine</w:t>
      </w:r>
      <w:r w:rsidR="00A115A0">
        <w:tab/>
      </w:r>
      <w:r w:rsidR="004C6D85">
        <w:tab/>
      </w:r>
      <w:r>
        <w:tab/>
      </w:r>
      <w:r w:rsidR="004C6D85">
        <w:t>-</w:t>
      </w:r>
      <w:r>
        <w:t>1.478.401,29</w:t>
      </w:r>
      <w:r w:rsidR="00A115A0">
        <w:t xml:space="preserve"> kn</w:t>
      </w:r>
    </w:p>
    <w:p w:rsidR="00FE76C1" w:rsidRDefault="00093DB2">
      <w:r>
        <w:t>96</w:t>
      </w:r>
      <w:r w:rsidR="00FE76C1">
        <w:t xml:space="preserve"> – Obračunati prihodi poslovanja</w:t>
      </w:r>
      <w:r w:rsidR="00FE76C1">
        <w:tab/>
      </w:r>
      <w:r w:rsidR="00FE76C1">
        <w:tab/>
      </w:r>
      <w:r w:rsidR="00A115A0">
        <w:tab/>
      </w:r>
      <w:r w:rsidR="004C6D85">
        <w:tab/>
      </w:r>
      <w:r>
        <w:tab/>
        <w:t>492.369,47</w:t>
      </w:r>
      <w:r w:rsidR="00A115A0">
        <w:t xml:space="preserve"> </w:t>
      </w:r>
      <w:r w:rsidR="00FE76C1">
        <w:t>kn</w:t>
      </w:r>
    </w:p>
    <w:p w:rsidR="004C6D85" w:rsidRDefault="00093DB2">
      <w:r>
        <w:t>97</w:t>
      </w:r>
      <w:r w:rsidR="004C6D85">
        <w:t xml:space="preserve"> – Obračunati prihodi od prodaje nefinancijske imovine </w:t>
      </w:r>
      <w:r w:rsidR="004C6D85">
        <w:tab/>
      </w:r>
      <w:r>
        <w:tab/>
        <w:t>783,27</w:t>
      </w:r>
      <w:r w:rsidR="004C6D85">
        <w:t xml:space="preserve"> kn</w:t>
      </w:r>
    </w:p>
    <w:p w:rsidR="004C6D85" w:rsidRDefault="00093DB2">
      <w:r>
        <w:t>996</w:t>
      </w:r>
      <w:r w:rsidR="004C6D85">
        <w:t xml:space="preserve"> – </w:t>
      </w:r>
      <w:proofErr w:type="spellStart"/>
      <w:r w:rsidR="004C6D85">
        <w:t>Izvanbilančni</w:t>
      </w:r>
      <w:proofErr w:type="spellEnd"/>
      <w:r w:rsidR="004C6D85">
        <w:t xml:space="preserve"> zapisi</w:t>
      </w:r>
      <w:r w:rsidR="004C6D85">
        <w:tab/>
      </w:r>
      <w:r w:rsidR="004C6D85">
        <w:tab/>
      </w:r>
      <w:r w:rsidR="004C6D85">
        <w:tab/>
      </w:r>
      <w:r w:rsidR="004C6D85">
        <w:tab/>
      </w:r>
      <w:r w:rsidR="004C6D85">
        <w:tab/>
      </w:r>
      <w:r>
        <w:tab/>
        <w:t>1.102.269,45</w:t>
      </w:r>
      <w:r w:rsidR="004C6D85">
        <w:t xml:space="preserve"> kn</w:t>
      </w:r>
    </w:p>
    <w:p w:rsidR="004C6D85" w:rsidRDefault="004C6D85"/>
    <w:p w:rsidR="00E1439D" w:rsidRDefault="00093DB2">
      <w:r>
        <w:t>922</w:t>
      </w:r>
      <w:r w:rsidR="00E1439D">
        <w:t xml:space="preserve"> – Višak/manjak prihoda sadrži iskazani rezultat po aktivnostima kako je navedeno u tablici:</w:t>
      </w:r>
    </w:p>
    <w:tbl>
      <w:tblPr>
        <w:tblStyle w:val="Srednjipopis2-Isticanje3"/>
        <w:tblW w:w="8934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3241"/>
        <w:gridCol w:w="1476"/>
        <w:gridCol w:w="1441"/>
        <w:gridCol w:w="1736"/>
      </w:tblGrid>
      <w:tr w:rsidR="00525694" w:rsidTr="00093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61DC0" w:rsidRPr="00E1439D" w:rsidRDefault="00461DC0" w:rsidP="00E1439D">
            <w:pPr>
              <w:jc w:val="center"/>
              <w:rPr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61DC0" w:rsidRPr="00E1439D" w:rsidRDefault="00461DC0" w:rsidP="00E14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Pozicije na dan 31.12.202</w:t>
            </w:r>
            <w:r w:rsidR="00093DB2">
              <w:rPr>
                <w:b/>
              </w:rPr>
              <w:t>2</w:t>
            </w:r>
            <w:r w:rsidRPr="00E1439D">
              <w:rPr>
                <w:b/>
              </w:rPr>
              <w:t>.</w:t>
            </w:r>
          </w:p>
          <w:p w:rsidR="00461DC0" w:rsidRPr="00E1439D" w:rsidRDefault="00461DC0" w:rsidP="00E14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godine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61DC0" w:rsidRPr="00E1439D" w:rsidRDefault="00461DC0" w:rsidP="00E14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PR-RAS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61DC0" w:rsidRPr="00E1439D" w:rsidRDefault="00461DC0" w:rsidP="00E14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Korekcija rezultata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61DC0" w:rsidRPr="00E1439D" w:rsidRDefault="00461DC0" w:rsidP="00E14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Bilanca</w:t>
            </w:r>
          </w:p>
        </w:tc>
      </w:tr>
      <w:tr w:rsidR="00461DC0" w:rsidTr="0009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E1439D">
            <w:r>
              <w:t>92211</w:t>
            </w:r>
          </w:p>
        </w:tc>
        <w:tc>
          <w:tcPr>
            <w:tcW w:w="324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Pr="00E1439D" w:rsidRDefault="00E1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39D">
              <w:t>Višak prihoda poslovanja</w:t>
            </w:r>
          </w:p>
        </w:tc>
        <w:tc>
          <w:tcPr>
            <w:tcW w:w="147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1E390D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3.790.737,05</w:t>
            </w:r>
          </w:p>
        </w:tc>
        <w:tc>
          <w:tcPr>
            <w:tcW w:w="144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7E3181" w:rsidP="001E39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1E390D">
              <w:t>320.443,53</w:t>
            </w:r>
          </w:p>
        </w:tc>
        <w:tc>
          <w:tcPr>
            <w:tcW w:w="1736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</w:tcPr>
          <w:p w:rsidR="00461DC0" w:rsidRDefault="00093DB2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DB2">
              <w:t>4.111.180,58</w:t>
            </w:r>
          </w:p>
        </w:tc>
      </w:tr>
      <w:tr w:rsidR="00461DC0" w:rsidTr="00093D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E1439D">
            <w:r>
              <w:t>92212</w:t>
            </w:r>
          </w:p>
        </w:tc>
        <w:tc>
          <w:tcPr>
            <w:tcW w:w="3241" w:type="dxa"/>
          </w:tcPr>
          <w:p w:rsidR="00461DC0" w:rsidRPr="00E1439D" w:rsidRDefault="00E1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39D">
              <w:t>Višak prihoda od nefinancijske imovine</w:t>
            </w:r>
          </w:p>
        </w:tc>
        <w:tc>
          <w:tcPr>
            <w:tcW w:w="1476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1DC0" w:rsidTr="0009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E1439D">
            <w:r>
              <w:t>92213</w:t>
            </w:r>
          </w:p>
        </w:tc>
        <w:tc>
          <w:tcPr>
            <w:tcW w:w="3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Pr="00E1439D" w:rsidRDefault="00E1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39D">
              <w:t>Višak prihoda od financijske imovine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461DC0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461DC0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1DC0" w:rsidRDefault="00461DC0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DC0" w:rsidTr="00093D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E1439D">
            <w:r>
              <w:t>92221</w:t>
            </w:r>
          </w:p>
        </w:tc>
        <w:tc>
          <w:tcPr>
            <w:tcW w:w="3241" w:type="dxa"/>
          </w:tcPr>
          <w:p w:rsidR="00461DC0" w:rsidRPr="00E1439D" w:rsidRDefault="00E1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39D">
              <w:t>Manjak prihoda poslovanja</w:t>
            </w:r>
          </w:p>
        </w:tc>
        <w:tc>
          <w:tcPr>
            <w:tcW w:w="1476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1DC0" w:rsidTr="0009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E1439D">
            <w:r>
              <w:t>92222</w:t>
            </w:r>
          </w:p>
        </w:tc>
        <w:tc>
          <w:tcPr>
            <w:tcW w:w="3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Pr="00E1439D" w:rsidRDefault="00E1439D" w:rsidP="00E1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439D">
              <w:t xml:space="preserve">Manjak prihoda od nefinancijske imovine </w:t>
            </w:r>
          </w:p>
        </w:tc>
        <w:tc>
          <w:tcPr>
            <w:tcW w:w="14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1E390D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1.157.957,76</w:t>
            </w:r>
          </w:p>
        </w:tc>
        <w:tc>
          <w:tcPr>
            <w:tcW w:w="1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1DC0" w:rsidRDefault="00175229" w:rsidP="00093D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</w:t>
            </w:r>
            <w:r w:rsidR="001E390D">
              <w:t>320.443,53</w:t>
            </w:r>
          </w:p>
        </w:tc>
        <w:tc>
          <w:tcPr>
            <w:tcW w:w="17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1DC0" w:rsidRDefault="00093DB2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DB2">
              <w:t>1.478.401,29</w:t>
            </w:r>
          </w:p>
        </w:tc>
      </w:tr>
      <w:tr w:rsidR="00461DC0" w:rsidTr="00093D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left w:val="none" w:sz="0" w:space="0" w:color="auto"/>
              <w:bottom w:val="double" w:sz="4" w:space="0" w:color="auto"/>
              <w:right w:val="none" w:sz="0" w:space="0" w:color="auto"/>
            </w:tcBorders>
          </w:tcPr>
          <w:p w:rsidR="00461DC0" w:rsidRDefault="00E1439D">
            <w:r>
              <w:t>92223</w:t>
            </w:r>
          </w:p>
        </w:tc>
        <w:tc>
          <w:tcPr>
            <w:tcW w:w="3241" w:type="dxa"/>
            <w:tcBorders>
              <w:bottom w:val="double" w:sz="4" w:space="0" w:color="auto"/>
            </w:tcBorders>
          </w:tcPr>
          <w:p w:rsidR="00461DC0" w:rsidRPr="00E1439D" w:rsidRDefault="00E1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439D">
              <w:t>Manjak prihoda od financijske imovine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tcBorders>
              <w:bottom w:val="double" w:sz="4" w:space="0" w:color="auto"/>
            </w:tcBorders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461DC0" w:rsidRDefault="00461DC0" w:rsidP="00E143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181" w:rsidRPr="00E1439D" w:rsidTr="00093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1" w:rsidRPr="00E1439D" w:rsidRDefault="007E3181">
            <w:pPr>
              <w:rPr>
                <w:b/>
              </w:rPr>
            </w:pPr>
            <w:r w:rsidRPr="00E1439D">
              <w:rPr>
                <w:b/>
              </w:rPr>
              <w:t>922</w:t>
            </w:r>
          </w:p>
        </w:tc>
        <w:tc>
          <w:tcPr>
            <w:tcW w:w="3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1" w:rsidRPr="00E1439D" w:rsidRDefault="007E3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1439D">
              <w:rPr>
                <w:b/>
              </w:rPr>
              <w:t>Višak/manjak prihoda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181" w:rsidRPr="00E1439D" w:rsidRDefault="00093DB2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2.632.779,29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3181" w:rsidRPr="00E1439D" w:rsidRDefault="007E3181" w:rsidP="00E14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1" w:rsidRPr="00E1439D" w:rsidRDefault="00093DB2" w:rsidP="00442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2.632.779,29</w:t>
            </w:r>
          </w:p>
        </w:tc>
      </w:tr>
    </w:tbl>
    <w:p w:rsidR="00461DC0" w:rsidRDefault="00461DC0"/>
    <w:p w:rsidR="00AC69A1" w:rsidRDefault="00525694" w:rsidP="00AC69A1">
      <w:pPr>
        <w:rPr>
          <w:szCs w:val="24"/>
          <w:lang w:eastAsia="hr-HR"/>
        </w:rPr>
      </w:pPr>
      <w:r>
        <w:t xml:space="preserve">Sukladno čl. 82. Pravilnika o proračunskom računovodstvu </w:t>
      </w:r>
      <w:r w:rsidRPr="008A5AB9">
        <w:rPr>
          <w:szCs w:val="24"/>
        </w:rPr>
        <w:t xml:space="preserve">(„Narodne Novine“ broj </w:t>
      </w:r>
      <w:r w:rsidR="001E390D">
        <w:rPr>
          <w:szCs w:val="24"/>
        </w:rPr>
        <w:t>124/14, 115/15, 87/16, 3/18, 126/19 i 108/20</w:t>
      </w:r>
      <w:r w:rsidRPr="008A5AB9">
        <w:rPr>
          <w:szCs w:val="24"/>
        </w:rPr>
        <w:t>)</w:t>
      </w:r>
      <w:r w:rsidR="00AC69A1">
        <w:rPr>
          <w:szCs w:val="24"/>
        </w:rPr>
        <w:t xml:space="preserve"> </w:t>
      </w:r>
      <w:r w:rsidR="00AC69A1">
        <w:rPr>
          <w:szCs w:val="24"/>
          <w:lang w:eastAsia="hr-HR"/>
        </w:rPr>
        <w:t>s</w:t>
      </w:r>
      <w:r w:rsidRPr="00FA0930">
        <w:rPr>
          <w:szCs w:val="24"/>
          <w:lang w:eastAsia="hr-HR"/>
        </w:rPr>
        <w:t>ald</w:t>
      </w:r>
      <w:r w:rsidR="00AC69A1">
        <w:rPr>
          <w:szCs w:val="24"/>
          <w:lang w:eastAsia="hr-HR"/>
        </w:rPr>
        <w:t>a</w:t>
      </w:r>
      <w:r w:rsidRPr="00FA0930">
        <w:rPr>
          <w:szCs w:val="24"/>
          <w:lang w:eastAsia="hr-HR"/>
        </w:rPr>
        <w:t xml:space="preserve"> na kraju godine na podskupini 922 utvrđ</w:t>
      </w:r>
      <w:r w:rsidR="00AC69A1">
        <w:rPr>
          <w:szCs w:val="24"/>
          <w:lang w:eastAsia="hr-HR"/>
        </w:rPr>
        <w:t>ena</w:t>
      </w:r>
      <w:r w:rsidRPr="00FA0930">
        <w:rPr>
          <w:szCs w:val="24"/>
          <w:lang w:eastAsia="hr-HR"/>
        </w:rPr>
        <w:t xml:space="preserve"> s</w:t>
      </w:r>
      <w:r w:rsidR="00AC69A1">
        <w:rPr>
          <w:szCs w:val="24"/>
          <w:lang w:eastAsia="hr-HR"/>
        </w:rPr>
        <w:t>u</w:t>
      </w:r>
      <w:r w:rsidRPr="00FA0930">
        <w:rPr>
          <w:szCs w:val="24"/>
          <w:lang w:eastAsia="hr-HR"/>
        </w:rPr>
        <w:t xml:space="preserve"> prebijanjem računa viškova i manjkova po istovrsnim kategorijama i izvorima financiranja na razini osnovnog računa.</w:t>
      </w:r>
      <w:r w:rsidR="00AC69A1">
        <w:rPr>
          <w:szCs w:val="24"/>
          <w:lang w:eastAsia="hr-HR"/>
        </w:rPr>
        <w:t xml:space="preserve"> Za iznos koji je bio evidentiran tijekom godine na računima kapitalnog prijenosa sredstava</w:t>
      </w:r>
      <w:r w:rsidRPr="00FA0930">
        <w:rPr>
          <w:szCs w:val="24"/>
          <w:lang w:eastAsia="hr-HR"/>
        </w:rPr>
        <w:t xml:space="preserve">, a koji su utrošeni za nabavu dugotrajne nefinancijske imovine zadužuje se račun </w:t>
      </w:r>
      <w:r w:rsidR="0071310B">
        <w:rPr>
          <w:szCs w:val="24"/>
          <w:lang w:eastAsia="hr-HR"/>
        </w:rPr>
        <w:t>viška</w:t>
      </w:r>
      <w:r w:rsidRPr="00FA0930">
        <w:rPr>
          <w:szCs w:val="24"/>
          <w:lang w:eastAsia="hr-HR"/>
        </w:rPr>
        <w:t xml:space="preserve"> prihoda poslovanja, a odobrava manj</w:t>
      </w:r>
      <w:r w:rsidR="0071310B">
        <w:rPr>
          <w:szCs w:val="24"/>
          <w:lang w:eastAsia="hr-HR"/>
        </w:rPr>
        <w:t>ak</w:t>
      </w:r>
      <w:r w:rsidRPr="00FA0930">
        <w:rPr>
          <w:szCs w:val="24"/>
          <w:lang w:eastAsia="hr-HR"/>
        </w:rPr>
        <w:t xml:space="preserve"> p</w:t>
      </w:r>
      <w:r w:rsidR="00AC1175">
        <w:rPr>
          <w:szCs w:val="24"/>
          <w:lang w:eastAsia="hr-HR"/>
        </w:rPr>
        <w:t>rihoda od nefinancijske imovine</w:t>
      </w:r>
      <w:r w:rsidR="0071310B">
        <w:rPr>
          <w:szCs w:val="24"/>
          <w:lang w:eastAsia="hr-HR"/>
        </w:rPr>
        <w:t>.</w:t>
      </w:r>
    </w:p>
    <w:p w:rsidR="0071310B" w:rsidRDefault="0071310B" w:rsidP="00AC69A1">
      <w:pPr>
        <w:rPr>
          <w:szCs w:val="24"/>
          <w:lang w:eastAsia="hr-HR"/>
        </w:rPr>
      </w:pPr>
    </w:p>
    <w:p w:rsidR="00CD7BF8" w:rsidRDefault="00CD7BF8" w:rsidP="00AC69A1">
      <w:pPr>
        <w:rPr>
          <w:szCs w:val="24"/>
          <w:lang w:eastAsia="hr-HR"/>
        </w:rPr>
      </w:pPr>
    </w:p>
    <w:p w:rsidR="00CD7BF8" w:rsidRDefault="00CD7BF8" w:rsidP="00AC69A1">
      <w:pPr>
        <w:rPr>
          <w:szCs w:val="24"/>
          <w:lang w:eastAsia="hr-HR"/>
        </w:rPr>
      </w:pPr>
    </w:p>
    <w:p w:rsidR="00CD7BF8" w:rsidRDefault="00CD7BF8" w:rsidP="00AC69A1">
      <w:pPr>
        <w:rPr>
          <w:szCs w:val="24"/>
          <w:lang w:eastAsia="hr-HR"/>
        </w:rPr>
      </w:pPr>
    </w:p>
    <w:p w:rsidR="00CD7BF8" w:rsidRDefault="00CD7BF8" w:rsidP="00AC69A1">
      <w:pPr>
        <w:rPr>
          <w:szCs w:val="24"/>
          <w:lang w:eastAsia="hr-HR"/>
        </w:rPr>
      </w:pPr>
    </w:p>
    <w:p w:rsidR="0071310B" w:rsidRPr="00A67490" w:rsidRDefault="00A67490" w:rsidP="00A67490">
      <w:pPr>
        <w:jc w:val="center"/>
        <w:rPr>
          <w:szCs w:val="24"/>
          <w:u w:val="single"/>
          <w:lang w:eastAsia="hr-HR"/>
        </w:rPr>
      </w:pPr>
      <w:r w:rsidRPr="00A67490">
        <w:rPr>
          <w:szCs w:val="24"/>
          <w:u w:val="single"/>
          <w:lang w:eastAsia="hr-HR"/>
        </w:rPr>
        <w:lastRenderedPageBreak/>
        <w:t>Popis ugovornih odnosa koji uz ispunjenje određenih uvjeta, mogu postati obveza ili imovina</w:t>
      </w:r>
    </w:p>
    <w:p w:rsidR="00A67490" w:rsidRPr="00A67490" w:rsidRDefault="00A67490" w:rsidP="00A67490">
      <w:pPr>
        <w:jc w:val="center"/>
        <w:rPr>
          <w:szCs w:val="24"/>
          <w:lang w:eastAsia="hr-HR"/>
        </w:rPr>
      </w:pPr>
    </w:p>
    <w:p w:rsidR="00A67490" w:rsidRDefault="00A67490" w:rsidP="00A67490">
      <w:pPr>
        <w:pStyle w:val="Odlomakpopisa"/>
        <w:numPr>
          <w:ilvl w:val="0"/>
          <w:numId w:val="17"/>
        </w:numPr>
        <w:rPr>
          <w:szCs w:val="24"/>
          <w:lang w:eastAsia="hr-HR"/>
        </w:rPr>
      </w:pPr>
      <w:r w:rsidRPr="00A67490">
        <w:rPr>
          <w:szCs w:val="24"/>
          <w:lang w:eastAsia="hr-HR"/>
        </w:rPr>
        <w:t>Po</w:t>
      </w:r>
      <w:r>
        <w:rPr>
          <w:szCs w:val="24"/>
          <w:lang w:eastAsia="hr-HR"/>
        </w:rPr>
        <w:t>pis ugovorenih odnosa koji mogu postati obveza</w:t>
      </w:r>
    </w:p>
    <w:tbl>
      <w:tblPr>
        <w:tblStyle w:val="Reetkatablice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851"/>
        <w:gridCol w:w="1692"/>
        <w:gridCol w:w="850"/>
        <w:gridCol w:w="709"/>
        <w:gridCol w:w="992"/>
        <w:gridCol w:w="1701"/>
        <w:gridCol w:w="948"/>
      </w:tblGrid>
      <w:tr w:rsidR="00E63AB1" w:rsidRPr="00041815" w:rsidTr="00E63AB1">
        <w:trPr>
          <w:jc w:val="center"/>
        </w:trPr>
        <w:tc>
          <w:tcPr>
            <w:tcW w:w="534" w:type="dxa"/>
            <w:shd w:val="clear" w:color="auto" w:fill="C2D69B" w:themeFill="accent3" w:themeFillTint="99"/>
          </w:tcPr>
          <w:p w:rsidR="00A67490" w:rsidRPr="00041815" w:rsidRDefault="00A67490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Red. br.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67490" w:rsidRPr="00041815" w:rsidRDefault="00A67490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Datum izdavanja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A67490" w:rsidRPr="00041815" w:rsidRDefault="00A67490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Instrument osiguranja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A67490" w:rsidRPr="00041815" w:rsidRDefault="00A67490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Iznos danog jamstva</w:t>
            </w:r>
          </w:p>
        </w:tc>
        <w:tc>
          <w:tcPr>
            <w:tcW w:w="1692" w:type="dxa"/>
            <w:shd w:val="clear" w:color="auto" w:fill="C2D69B" w:themeFill="accent3" w:themeFillTint="99"/>
          </w:tcPr>
          <w:p w:rsidR="00A67490" w:rsidRPr="00041815" w:rsidRDefault="00A67490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Jamstvo dano - primatelj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67490" w:rsidRPr="00041815" w:rsidRDefault="00D8041E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Namjena</w:t>
            </w:r>
            <w:r w:rsidR="00A15295" w:rsidRPr="00041815">
              <w:rPr>
                <w:b/>
                <w:sz w:val="14"/>
                <w:szCs w:val="24"/>
                <w:lang w:eastAsia="hr-HR"/>
              </w:rPr>
              <w:t>/ vrsta jamstva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67490" w:rsidRPr="00041815" w:rsidRDefault="00A15295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Broj ugovora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A67490" w:rsidRPr="00041815" w:rsidRDefault="00A15295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Rok važenja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A67490" w:rsidRPr="00041815" w:rsidRDefault="00A15295" w:rsidP="00D8041E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Predmet ugovora</w:t>
            </w:r>
          </w:p>
        </w:tc>
        <w:tc>
          <w:tcPr>
            <w:tcW w:w="948" w:type="dxa"/>
            <w:shd w:val="clear" w:color="auto" w:fill="C2D69B" w:themeFill="accent3" w:themeFillTint="99"/>
          </w:tcPr>
          <w:p w:rsidR="00A67490" w:rsidRPr="00041815" w:rsidRDefault="00D8041E" w:rsidP="00174D7A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 xml:space="preserve">Napomena: </w:t>
            </w:r>
          </w:p>
        </w:tc>
      </w:tr>
      <w:tr w:rsidR="00B4621F" w:rsidRPr="00041815" w:rsidTr="00E63AB1">
        <w:trPr>
          <w:jc w:val="center"/>
        </w:trPr>
        <w:tc>
          <w:tcPr>
            <w:tcW w:w="534" w:type="dxa"/>
          </w:tcPr>
          <w:p w:rsidR="00B4621F" w:rsidRPr="00041815" w:rsidRDefault="00B4621F" w:rsidP="00A67490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1.</w:t>
            </w:r>
          </w:p>
        </w:tc>
        <w:tc>
          <w:tcPr>
            <w:tcW w:w="850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16.7.2018.</w:t>
            </w:r>
          </w:p>
        </w:tc>
        <w:tc>
          <w:tcPr>
            <w:tcW w:w="992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Bjanko zadužnica</w:t>
            </w:r>
          </w:p>
        </w:tc>
        <w:tc>
          <w:tcPr>
            <w:tcW w:w="851" w:type="dxa"/>
          </w:tcPr>
          <w:p w:rsidR="00B4621F" w:rsidRPr="00041815" w:rsidRDefault="00B4621F" w:rsidP="00B4621F">
            <w:pPr>
              <w:jc w:val="right"/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200.000,00</w:t>
            </w:r>
          </w:p>
        </w:tc>
        <w:tc>
          <w:tcPr>
            <w:tcW w:w="1692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Ministarstvo regionalnog razvoja i fondova EU</w:t>
            </w:r>
          </w:p>
        </w:tc>
        <w:tc>
          <w:tcPr>
            <w:tcW w:w="850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Jamstvo po ugovoru</w:t>
            </w:r>
          </w:p>
        </w:tc>
        <w:tc>
          <w:tcPr>
            <w:tcW w:w="709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2018/001528</w:t>
            </w:r>
          </w:p>
        </w:tc>
        <w:tc>
          <w:tcPr>
            <w:tcW w:w="992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</w:p>
        </w:tc>
        <w:tc>
          <w:tcPr>
            <w:tcW w:w="1701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Nabava spremnika za odvojeno prikupljanje otpada</w:t>
            </w:r>
          </w:p>
        </w:tc>
        <w:tc>
          <w:tcPr>
            <w:tcW w:w="948" w:type="dxa"/>
          </w:tcPr>
          <w:p w:rsidR="00B4621F" w:rsidRPr="00041815" w:rsidRDefault="00B4621F" w:rsidP="00A67490">
            <w:pPr>
              <w:rPr>
                <w:sz w:val="14"/>
                <w:szCs w:val="24"/>
                <w:lang w:eastAsia="hr-HR"/>
              </w:rPr>
            </w:pPr>
          </w:p>
        </w:tc>
      </w:tr>
      <w:tr w:rsidR="00853BAF" w:rsidRPr="00853BAF" w:rsidTr="008A3D45">
        <w:trPr>
          <w:jc w:val="center"/>
        </w:trPr>
        <w:tc>
          <w:tcPr>
            <w:tcW w:w="534" w:type="dxa"/>
          </w:tcPr>
          <w:p w:rsidR="00853BAF" w:rsidRPr="00853BAF" w:rsidRDefault="00853BAF" w:rsidP="00A67490">
            <w:pPr>
              <w:rPr>
                <w:sz w:val="14"/>
                <w:szCs w:val="24"/>
                <w:lang w:eastAsia="hr-HR"/>
              </w:rPr>
            </w:pPr>
            <w:r w:rsidRPr="00853BAF">
              <w:rPr>
                <w:sz w:val="14"/>
                <w:szCs w:val="24"/>
                <w:lang w:eastAsia="hr-HR"/>
              </w:rPr>
              <w:t>2.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10.10.2022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Bjanko zadužnica</w:t>
            </w:r>
          </w:p>
        </w:tc>
        <w:tc>
          <w:tcPr>
            <w:tcW w:w="851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50.000,00 </w:t>
            </w:r>
          </w:p>
        </w:tc>
        <w:tc>
          <w:tcPr>
            <w:tcW w:w="16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Središnji državni ured za demografiju i mlade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Jamstvo za uredno izvršavanje obveza  po Ugovoru o sufinanciranju </w:t>
            </w:r>
          </w:p>
        </w:tc>
        <w:tc>
          <w:tcPr>
            <w:tcW w:w="709" w:type="dxa"/>
          </w:tcPr>
          <w:p w:rsidR="00853BAF" w:rsidRPr="00853BAF" w:rsidRDefault="00853BAF" w:rsidP="00A67490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402-05/22-01/102</w:t>
            </w:r>
          </w:p>
        </w:tc>
        <w:tc>
          <w:tcPr>
            <w:tcW w:w="992" w:type="dxa"/>
          </w:tcPr>
          <w:p w:rsidR="00853BAF" w:rsidRPr="00853BAF" w:rsidRDefault="00853BAF" w:rsidP="00A67490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31.12.2022.</w:t>
            </w:r>
          </w:p>
        </w:tc>
        <w:tc>
          <w:tcPr>
            <w:tcW w:w="1701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"Projekt ulaganja u objekte dječjih vrtića"</w:t>
            </w:r>
          </w:p>
        </w:tc>
        <w:tc>
          <w:tcPr>
            <w:tcW w:w="948" w:type="dxa"/>
          </w:tcPr>
          <w:p w:rsidR="00853BAF" w:rsidRPr="00853BAF" w:rsidRDefault="00853BAF" w:rsidP="00A67490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A3D45">
        <w:trPr>
          <w:jc w:val="center"/>
        </w:trPr>
        <w:tc>
          <w:tcPr>
            <w:tcW w:w="534" w:type="dxa"/>
          </w:tcPr>
          <w:p w:rsidR="00853BAF" w:rsidRPr="00853BAF" w:rsidRDefault="00853BAF" w:rsidP="00A67490">
            <w:pPr>
              <w:rPr>
                <w:sz w:val="14"/>
                <w:szCs w:val="24"/>
                <w:lang w:eastAsia="hr-HR"/>
              </w:rPr>
            </w:pPr>
            <w:r w:rsidRPr="00853BAF">
              <w:rPr>
                <w:sz w:val="14"/>
                <w:szCs w:val="24"/>
                <w:lang w:eastAsia="hr-HR"/>
              </w:rPr>
              <w:t>3.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Bjanko zadužnica</w:t>
            </w:r>
          </w:p>
        </w:tc>
        <w:tc>
          <w:tcPr>
            <w:tcW w:w="851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200.000,00 </w:t>
            </w:r>
          </w:p>
        </w:tc>
        <w:tc>
          <w:tcPr>
            <w:tcW w:w="16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Ministarstvo regionalnog razvoja i fondova Europske unije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Jamstvo po Ugovoru </w:t>
            </w:r>
          </w:p>
        </w:tc>
        <w:tc>
          <w:tcPr>
            <w:tcW w:w="709" w:type="dxa"/>
          </w:tcPr>
          <w:p w:rsidR="00853BAF" w:rsidRPr="00853BAF" w:rsidRDefault="000022ED" w:rsidP="00A67490">
            <w:pPr>
              <w:rPr>
                <w:sz w:val="14"/>
                <w:szCs w:val="14"/>
                <w:lang w:eastAsia="hr-HR"/>
              </w:rPr>
            </w:pPr>
            <w:r>
              <w:rPr>
                <w:sz w:val="14"/>
                <w:szCs w:val="14"/>
                <w:lang w:eastAsia="hr-HR"/>
              </w:rPr>
              <w:t>09-F-I-0139/22-07</w:t>
            </w:r>
          </w:p>
        </w:tc>
        <w:tc>
          <w:tcPr>
            <w:tcW w:w="992" w:type="dxa"/>
          </w:tcPr>
          <w:p w:rsidR="00853BAF" w:rsidRPr="00853BAF" w:rsidRDefault="00853BAF" w:rsidP="00A67490">
            <w:pPr>
              <w:rPr>
                <w:sz w:val="14"/>
                <w:szCs w:val="14"/>
                <w:lang w:eastAsia="hr-HR"/>
              </w:rPr>
            </w:pPr>
          </w:p>
        </w:tc>
        <w:tc>
          <w:tcPr>
            <w:tcW w:w="1701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"Tehničko i gospodarsko održavanje nerazvrstane ceste u Velikom Trojstvu - Vinogradska II (</w:t>
            </w:r>
            <w:proofErr w:type="spellStart"/>
            <w:r w:rsidRPr="00853BAF">
              <w:rPr>
                <w:color w:val="000000"/>
                <w:sz w:val="14"/>
                <w:szCs w:val="14"/>
              </w:rPr>
              <w:t>Krupski</w:t>
            </w:r>
            <w:proofErr w:type="spellEnd"/>
            <w:r w:rsidRPr="00853BAF">
              <w:rPr>
                <w:color w:val="000000"/>
                <w:sz w:val="14"/>
                <w:szCs w:val="14"/>
              </w:rPr>
              <w:t xml:space="preserve"> brijeg)"</w:t>
            </w:r>
          </w:p>
        </w:tc>
        <w:tc>
          <w:tcPr>
            <w:tcW w:w="948" w:type="dxa"/>
          </w:tcPr>
          <w:p w:rsidR="00853BAF" w:rsidRPr="00853BAF" w:rsidRDefault="00853BAF" w:rsidP="00A67490">
            <w:pPr>
              <w:rPr>
                <w:sz w:val="14"/>
                <w:szCs w:val="14"/>
                <w:lang w:eastAsia="hr-HR"/>
              </w:rPr>
            </w:pPr>
          </w:p>
        </w:tc>
      </w:tr>
    </w:tbl>
    <w:p w:rsidR="00901BE6" w:rsidRDefault="00901BE6" w:rsidP="00FB655E">
      <w:pPr>
        <w:rPr>
          <w:szCs w:val="24"/>
          <w:lang w:eastAsia="hr-HR"/>
        </w:rPr>
      </w:pPr>
    </w:p>
    <w:p w:rsidR="00901BE6" w:rsidRPr="00901BE6" w:rsidRDefault="00901BE6" w:rsidP="00901BE6">
      <w:pPr>
        <w:pStyle w:val="Odlomakpopisa"/>
        <w:numPr>
          <w:ilvl w:val="0"/>
          <w:numId w:val="17"/>
        </w:numPr>
        <w:rPr>
          <w:szCs w:val="24"/>
          <w:lang w:eastAsia="hr-HR"/>
        </w:rPr>
      </w:pPr>
      <w:r w:rsidRPr="00901BE6">
        <w:rPr>
          <w:szCs w:val="24"/>
          <w:lang w:eastAsia="hr-HR"/>
        </w:rPr>
        <w:t xml:space="preserve">Popis ugovorenih odnosa koji mogu postati </w:t>
      </w:r>
      <w:r>
        <w:rPr>
          <w:szCs w:val="24"/>
          <w:lang w:eastAsia="hr-HR"/>
        </w:rPr>
        <w:t>imovina</w:t>
      </w:r>
    </w:p>
    <w:tbl>
      <w:tblPr>
        <w:tblStyle w:val="Reetkatablice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983"/>
        <w:gridCol w:w="1276"/>
        <w:gridCol w:w="992"/>
        <w:gridCol w:w="851"/>
        <w:gridCol w:w="850"/>
        <w:gridCol w:w="1843"/>
        <w:gridCol w:w="948"/>
      </w:tblGrid>
      <w:tr w:rsidR="00044A04" w:rsidRPr="00041815" w:rsidTr="00853BAF">
        <w:trPr>
          <w:jc w:val="center"/>
        </w:trPr>
        <w:tc>
          <w:tcPr>
            <w:tcW w:w="534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Red. br.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13314" w:rsidRPr="00041815" w:rsidRDefault="00813314" w:rsidP="003A4D01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 xml:space="preserve">Datum </w:t>
            </w:r>
            <w:r>
              <w:rPr>
                <w:b/>
                <w:sz w:val="14"/>
                <w:szCs w:val="24"/>
                <w:lang w:eastAsia="hr-HR"/>
              </w:rPr>
              <w:t>jamstva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Instrument osiguranja</w:t>
            </w:r>
          </w:p>
        </w:tc>
        <w:tc>
          <w:tcPr>
            <w:tcW w:w="983" w:type="dxa"/>
            <w:shd w:val="clear" w:color="auto" w:fill="C2D69B" w:themeFill="accent3" w:themeFillTint="99"/>
          </w:tcPr>
          <w:p w:rsidR="00813314" w:rsidRPr="00041815" w:rsidRDefault="00813314" w:rsidP="003A4D01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 xml:space="preserve">Iznos </w:t>
            </w:r>
            <w:r>
              <w:rPr>
                <w:b/>
                <w:sz w:val="14"/>
                <w:szCs w:val="24"/>
                <w:lang w:eastAsia="hr-HR"/>
              </w:rPr>
              <w:t xml:space="preserve">primljenog </w:t>
            </w:r>
            <w:r w:rsidRPr="00041815">
              <w:rPr>
                <w:b/>
                <w:sz w:val="14"/>
                <w:szCs w:val="24"/>
                <w:lang w:eastAsia="hr-HR"/>
              </w:rPr>
              <w:t>jamstva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>
              <w:rPr>
                <w:b/>
                <w:sz w:val="14"/>
                <w:szCs w:val="24"/>
                <w:lang w:eastAsia="hr-HR"/>
              </w:rPr>
              <w:t>Davatelj jamstva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13314" w:rsidRPr="00041815" w:rsidRDefault="00813314" w:rsidP="003A4D01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Namjena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Broj ugovora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13314" w:rsidRPr="00041815" w:rsidRDefault="00813314" w:rsidP="00853BAF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Rok važenja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>Predmet ugovora</w:t>
            </w:r>
          </w:p>
        </w:tc>
        <w:tc>
          <w:tcPr>
            <w:tcW w:w="948" w:type="dxa"/>
            <w:shd w:val="clear" w:color="auto" w:fill="C2D69B" w:themeFill="accent3" w:themeFillTint="99"/>
          </w:tcPr>
          <w:p w:rsidR="00813314" w:rsidRPr="00041815" w:rsidRDefault="00813314" w:rsidP="00442908">
            <w:pPr>
              <w:jc w:val="center"/>
              <w:rPr>
                <w:b/>
                <w:sz w:val="14"/>
                <w:szCs w:val="24"/>
                <w:lang w:eastAsia="hr-HR"/>
              </w:rPr>
            </w:pPr>
            <w:r w:rsidRPr="00041815">
              <w:rPr>
                <w:b/>
                <w:sz w:val="14"/>
                <w:szCs w:val="24"/>
                <w:lang w:eastAsia="hr-HR"/>
              </w:rPr>
              <w:t xml:space="preserve">Napomena: </w:t>
            </w:r>
          </w:p>
        </w:tc>
      </w:tr>
      <w:tr w:rsidR="00044A04" w:rsidRPr="00041815" w:rsidTr="00853BAF">
        <w:trPr>
          <w:jc w:val="center"/>
        </w:trPr>
        <w:tc>
          <w:tcPr>
            <w:tcW w:w="534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1.</w:t>
            </w:r>
          </w:p>
        </w:tc>
        <w:tc>
          <w:tcPr>
            <w:tcW w:w="850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2.4.2021</w:t>
            </w:r>
          </w:p>
        </w:tc>
        <w:tc>
          <w:tcPr>
            <w:tcW w:w="992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Garancija</w:t>
            </w:r>
          </w:p>
        </w:tc>
        <w:tc>
          <w:tcPr>
            <w:tcW w:w="983" w:type="dxa"/>
          </w:tcPr>
          <w:p w:rsidR="003A4D01" w:rsidRPr="00041815" w:rsidRDefault="00813314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12.415,45</w:t>
            </w:r>
          </w:p>
        </w:tc>
        <w:tc>
          <w:tcPr>
            <w:tcW w:w="1276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proofErr w:type="spellStart"/>
            <w:r>
              <w:rPr>
                <w:sz w:val="14"/>
                <w:szCs w:val="24"/>
                <w:lang w:eastAsia="hr-HR"/>
              </w:rPr>
              <w:t>Demaring</w:t>
            </w:r>
            <w:proofErr w:type="spellEnd"/>
            <w:r>
              <w:rPr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992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Jamstvo po ugovoru</w:t>
            </w:r>
          </w:p>
        </w:tc>
        <w:tc>
          <w:tcPr>
            <w:tcW w:w="851" w:type="dxa"/>
          </w:tcPr>
          <w:p w:rsidR="003A4D01" w:rsidRPr="00044A04" w:rsidRDefault="00044A04" w:rsidP="000619AB">
            <w:pPr>
              <w:rPr>
                <w:b/>
                <w:sz w:val="14"/>
                <w:szCs w:val="24"/>
                <w:lang w:eastAsia="hr-HR"/>
              </w:rPr>
            </w:pPr>
            <w:r w:rsidRPr="00044A04">
              <w:rPr>
                <w:b/>
                <w:sz w:val="10"/>
                <w:szCs w:val="24"/>
                <w:lang w:eastAsia="hr-HR"/>
              </w:rPr>
              <w:t xml:space="preserve">KLASA: </w:t>
            </w:r>
            <w:r w:rsidR="000619AB">
              <w:rPr>
                <w:b/>
                <w:sz w:val="10"/>
                <w:szCs w:val="24"/>
                <w:lang w:eastAsia="hr-HR"/>
              </w:rPr>
              <w:t>361-08/21-01/002</w:t>
            </w:r>
            <w:r w:rsidRPr="00044A04">
              <w:rPr>
                <w:b/>
                <w:sz w:val="10"/>
                <w:szCs w:val="24"/>
                <w:lang w:eastAsia="hr-HR"/>
              </w:rPr>
              <w:t>; URBROJ: 2103-03-</w:t>
            </w:r>
            <w:proofErr w:type="spellStart"/>
            <w:r w:rsidRPr="00044A04">
              <w:rPr>
                <w:b/>
                <w:sz w:val="10"/>
                <w:szCs w:val="24"/>
                <w:lang w:eastAsia="hr-HR"/>
              </w:rPr>
              <w:t>03</w:t>
            </w:r>
            <w:proofErr w:type="spellEnd"/>
            <w:r w:rsidRPr="00044A04">
              <w:rPr>
                <w:b/>
                <w:sz w:val="10"/>
                <w:szCs w:val="24"/>
                <w:lang w:eastAsia="hr-HR"/>
              </w:rPr>
              <w:t>-21-15</w:t>
            </w:r>
          </w:p>
        </w:tc>
        <w:tc>
          <w:tcPr>
            <w:tcW w:w="850" w:type="dxa"/>
          </w:tcPr>
          <w:p w:rsidR="003A4D01" w:rsidRPr="00041815" w:rsidRDefault="00813314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24.3.2023</w:t>
            </w:r>
          </w:p>
        </w:tc>
        <w:tc>
          <w:tcPr>
            <w:tcW w:w="1843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Izgradnja komunalne infrastrukture i opremanje groblja Veliko Trojstvo</w:t>
            </w:r>
          </w:p>
        </w:tc>
        <w:tc>
          <w:tcPr>
            <w:tcW w:w="948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</w:p>
        </w:tc>
      </w:tr>
      <w:tr w:rsidR="00044A04" w:rsidRPr="00041815" w:rsidTr="00853BAF">
        <w:trPr>
          <w:jc w:val="center"/>
        </w:trPr>
        <w:tc>
          <w:tcPr>
            <w:tcW w:w="534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2.</w:t>
            </w:r>
          </w:p>
        </w:tc>
        <w:tc>
          <w:tcPr>
            <w:tcW w:w="850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20.4.2021</w:t>
            </w:r>
          </w:p>
        </w:tc>
        <w:tc>
          <w:tcPr>
            <w:tcW w:w="992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Garancija</w:t>
            </w:r>
          </w:p>
        </w:tc>
        <w:tc>
          <w:tcPr>
            <w:tcW w:w="983" w:type="dxa"/>
          </w:tcPr>
          <w:p w:rsidR="003A4D01" w:rsidRPr="00041815" w:rsidRDefault="00813314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26.617,00</w:t>
            </w:r>
          </w:p>
        </w:tc>
        <w:tc>
          <w:tcPr>
            <w:tcW w:w="1276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PZC d.o.o.</w:t>
            </w:r>
          </w:p>
        </w:tc>
        <w:tc>
          <w:tcPr>
            <w:tcW w:w="992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Jamstvo po ugovoru</w:t>
            </w:r>
          </w:p>
        </w:tc>
        <w:tc>
          <w:tcPr>
            <w:tcW w:w="851" w:type="dxa"/>
          </w:tcPr>
          <w:p w:rsidR="003A4D01" w:rsidRPr="00041815" w:rsidRDefault="00044A04" w:rsidP="001747B2">
            <w:pPr>
              <w:rPr>
                <w:sz w:val="14"/>
                <w:szCs w:val="24"/>
                <w:lang w:eastAsia="hr-HR"/>
              </w:rPr>
            </w:pPr>
            <w:r w:rsidRPr="00044A04">
              <w:rPr>
                <w:b/>
                <w:sz w:val="10"/>
                <w:szCs w:val="24"/>
                <w:lang w:eastAsia="hr-HR"/>
              </w:rPr>
              <w:t xml:space="preserve">KLASA: </w:t>
            </w:r>
            <w:r w:rsidR="001747B2">
              <w:rPr>
                <w:b/>
                <w:sz w:val="10"/>
                <w:szCs w:val="24"/>
                <w:lang w:eastAsia="hr-HR"/>
              </w:rPr>
              <w:t>340-03/21-01/003</w:t>
            </w:r>
            <w:r w:rsidRPr="00044A04">
              <w:rPr>
                <w:b/>
                <w:sz w:val="10"/>
                <w:szCs w:val="24"/>
                <w:lang w:eastAsia="hr-HR"/>
              </w:rPr>
              <w:t>; URBROJ: 2103-03-</w:t>
            </w:r>
            <w:proofErr w:type="spellStart"/>
            <w:r w:rsidRPr="00044A04">
              <w:rPr>
                <w:b/>
                <w:sz w:val="10"/>
                <w:szCs w:val="24"/>
                <w:lang w:eastAsia="hr-HR"/>
              </w:rPr>
              <w:t>03</w:t>
            </w:r>
            <w:proofErr w:type="spellEnd"/>
            <w:r w:rsidRPr="00044A04">
              <w:rPr>
                <w:b/>
                <w:sz w:val="10"/>
                <w:szCs w:val="24"/>
                <w:lang w:eastAsia="hr-HR"/>
              </w:rPr>
              <w:t>-21-</w:t>
            </w:r>
            <w:r w:rsidR="001747B2">
              <w:rPr>
                <w:b/>
                <w:sz w:val="10"/>
                <w:szCs w:val="24"/>
                <w:lang w:eastAsia="hr-HR"/>
              </w:rPr>
              <w:t>06</w:t>
            </w:r>
          </w:p>
        </w:tc>
        <w:tc>
          <w:tcPr>
            <w:tcW w:w="850" w:type="dxa"/>
          </w:tcPr>
          <w:p w:rsidR="003A4D01" w:rsidRPr="00041815" w:rsidRDefault="00813314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12.4.2023</w:t>
            </w:r>
          </w:p>
        </w:tc>
        <w:tc>
          <w:tcPr>
            <w:tcW w:w="1843" w:type="dxa"/>
          </w:tcPr>
          <w:p w:rsidR="003A4D01" w:rsidRPr="00041815" w:rsidRDefault="00813314" w:rsidP="00442908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 xml:space="preserve">Tehničko i gospodarsko održavanje nerazvrstane ceste </w:t>
            </w:r>
            <w:proofErr w:type="spellStart"/>
            <w:r>
              <w:rPr>
                <w:sz w:val="14"/>
                <w:szCs w:val="24"/>
                <w:lang w:eastAsia="hr-HR"/>
              </w:rPr>
              <w:t>Paulovac</w:t>
            </w:r>
            <w:proofErr w:type="spellEnd"/>
            <w:r>
              <w:rPr>
                <w:sz w:val="14"/>
                <w:szCs w:val="24"/>
                <w:lang w:eastAsia="hr-HR"/>
              </w:rPr>
              <w:t xml:space="preserve"> – odvojak 2</w:t>
            </w:r>
          </w:p>
        </w:tc>
        <w:tc>
          <w:tcPr>
            <w:tcW w:w="948" w:type="dxa"/>
          </w:tcPr>
          <w:p w:rsidR="003A4D01" w:rsidRPr="00041815" w:rsidRDefault="003A4D01" w:rsidP="00442908">
            <w:pPr>
              <w:rPr>
                <w:sz w:val="14"/>
                <w:szCs w:val="24"/>
                <w:lang w:eastAsia="hr-HR"/>
              </w:rPr>
            </w:pPr>
          </w:p>
        </w:tc>
      </w:tr>
      <w:tr w:rsidR="00B4621F" w:rsidRPr="00041815" w:rsidTr="00853BAF">
        <w:trPr>
          <w:jc w:val="center"/>
        </w:trPr>
        <w:tc>
          <w:tcPr>
            <w:tcW w:w="534" w:type="dxa"/>
          </w:tcPr>
          <w:p w:rsidR="00B4621F" w:rsidRPr="00041815" w:rsidRDefault="00B4621F" w:rsidP="00442908">
            <w:pPr>
              <w:rPr>
                <w:sz w:val="14"/>
                <w:szCs w:val="24"/>
                <w:lang w:eastAsia="hr-HR"/>
              </w:rPr>
            </w:pPr>
            <w:r w:rsidRPr="00041815">
              <w:rPr>
                <w:sz w:val="14"/>
                <w:szCs w:val="24"/>
                <w:lang w:eastAsia="hr-HR"/>
              </w:rPr>
              <w:t>3.</w:t>
            </w:r>
          </w:p>
        </w:tc>
        <w:tc>
          <w:tcPr>
            <w:tcW w:w="850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6.9.2021</w:t>
            </w:r>
          </w:p>
        </w:tc>
        <w:tc>
          <w:tcPr>
            <w:tcW w:w="992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Garancija</w:t>
            </w:r>
          </w:p>
        </w:tc>
        <w:tc>
          <w:tcPr>
            <w:tcW w:w="983" w:type="dxa"/>
          </w:tcPr>
          <w:p w:rsidR="00B4621F" w:rsidRPr="00041815" w:rsidRDefault="00B4621F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36.810,58</w:t>
            </w:r>
          </w:p>
        </w:tc>
        <w:tc>
          <w:tcPr>
            <w:tcW w:w="1276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proofErr w:type="spellStart"/>
            <w:r>
              <w:rPr>
                <w:sz w:val="14"/>
                <w:szCs w:val="24"/>
                <w:lang w:eastAsia="hr-HR"/>
              </w:rPr>
              <w:t>Demaring</w:t>
            </w:r>
            <w:proofErr w:type="spellEnd"/>
            <w:r>
              <w:rPr>
                <w:sz w:val="14"/>
                <w:szCs w:val="24"/>
                <w:lang w:eastAsia="hr-HR"/>
              </w:rPr>
              <w:t xml:space="preserve"> d.o.o.</w:t>
            </w:r>
          </w:p>
        </w:tc>
        <w:tc>
          <w:tcPr>
            <w:tcW w:w="992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Jamstvo po ugovoru</w:t>
            </w:r>
          </w:p>
        </w:tc>
        <w:tc>
          <w:tcPr>
            <w:tcW w:w="851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 w:rsidRPr="00044A04">
              <w:rPr>
                <w:b/>
                <w:sz w:val="10"/>
                <w:szCs w:val="24"/>
                <w:lang w:eastAsia="hr-HR"/>
              </w:rPr>
              <w:t xml:space="preserve">KLASA: </w:t>
            </w:r>
            <w:r>
              <w:rPr>
                <w:b/>
                <w:sz w:val="10"/>
                <w:szCs w:val="24"/>
                <w:lang w:eastAsia="hr-HR"/>
              </w:rPr>
              <w:t>612-02/21-01/001</w:t>
            </w:r>
            <w:r w:rsidRPr="00044A04">
              <w:rPr>
                <w:b/>
                <w:sz w:val="10"/>
                <w:szCs w:val="24"/>
                <w:lang w:eastAsia="hr-HR"/>
              </w:rPr>
              <w:t xml:space="preserve">; URBROJ: </w:t>
            </w:r>
            <w:r>
              <w:rPr>
                <w:b/>
                <w:sz w:val="10"/>
                <w:szCs w:val="24"/>
                <w:lang w:eastAsia="hr-HR"/>
              </w:rPr>
              <w:t>2103-03-</w:t>
            </w:r>
            <w:proofErr w:type="spellStart"/>
            <w:r>
              <w:rPr>
                <w:b/>
                <w:sz w:val="10"/>
                <w:szCs w:val="24"/>
                <w:lang w:eastAsia="hr-HR"/>
              </w:rPr>
              <w:t>03</w:t>
            </w:r>
            <w:proofErr w:type="spellEnd"/>
            <w:r>
              <w:rPr>
                <w:b/>
                <w:sz w:val="10"/>
                <w:szCs w:val="24"/>
                <w:lang w:eastAsia="hr-HR"/>
              </w:rPr>
              <w:t>-21-20</w:t>
            </w:r>
          </w:p>
        </w:tc>
        <w:tc>
          <w:tcPr>
            <w:tcW w:w="850" w:type="dxa"/>
          </w:tcPr>
          <w:p w:rsidR="00B4621F" w:rsidRPr="00041815" w:rsidRDefault="00B4621F" w:rsidP="00853BAF">
            <w:pPr>
              <w:jc w:val="right"/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3.9.2023</w:t>
            </w:r>
          </w:p>
        </w:tc>
        <w:tc>
          <w:tcPr>
            <w:tcW w:w="1843" w:type="dxa"/>
          </w:tcPr>
          <w:p w:rsidR="00B4621F" w:rsidRPr="00041815" w:rsidRDefault="00B4621F" w:rsidP="00B4621F">
            <w:pPr>
              <w:rPr>
                <w:sz w:val="14"/>
                <w:szCs w:val="24"/>
                <w:lang w:eastAsia="hr-HR"/>
              </w:rPr>
            </w:pPr>
            <w:r>
              <w:rPr>
                <w:sz w:val="14"/>
                <w:szCs w:val="24"/>
                <w:lang w:eastAsia="hr-HR"/>
              </w:rPr>
              <w:t>Vidikovac – adaptacija i uređenje okoliša</w:t>
            </w:r>
          </w:p>
        </w:tc>
        <w:tc>
          <w:tcPr>
            <w:tcW w:w="948" w:type="dxa"/>
          </w:tcPr>
          <w:p w:rsidR="00B4621F" w:rsidRPr="00041815" w:rsidRDefault="00B4621F" w:rsidP="00442908">
            <w:pPr>
              <w:rPr>
                <w:sz w:val="14"/>
                <w:szCs w:val="2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5.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24.02.2022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Zadužnica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13.402,00 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Rotor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Jamstvo po Ugovoru -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OV-1687/2022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Javna </w:t>
            </w:r>
            <w:proofErr w:type="spellStart"/>
            <w:r w:rsidRPr="00853BAF">
              <w:rPr>
                <w:color w:val="000000"/>
                <w:sz w:val="14"/>
                <w:szCs w:val="14"/>
              </w:rPr>
              <w:t>rasvijeta</w:t>
            </w:r>
            <w:proofErr w:type="spellEnd"/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6.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09.05.2022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29.537,73 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PZC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Garancija za uredno ispunjavanje ugovorne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5402291800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29.4.2024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"Tehničko i gospodarsko održavanje nerazvrstane ceste u Velikom Trojstvu - Vinogradska II (</w:t>
            </w:r>
            <w:proofErr w:type="spellStart"/>
            <w:r w:rsidRPr="00853BAF">
              <w:rPr>
                <w:color w:val="000000"/>
                <w:sz w:val="14"/>
                <w:szCs w:val="14"/>
              </w:rPr>
              <w:t>Krupski</w:t>
            </w:r>
            <w:proofErr w:type="spellEnd"/>
            <w:r w:rsidRPr="00853BAF">
              <w:rPr>
                <w:color w:val="000000"/>
                <w:sz w:val="14"/>
                <w:szCs w:val="14"/>
              </w:rPr>
              <w:t xml:space="preserve"> brijeg)"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7.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26.5.2022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Zadužnica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11.108,00 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Lovrak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Jamstvo po Ugovoru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OV-3004/2022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Adaptacija krovišta društvenog doma u Vrbici 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8.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06.06.2022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Zadužnica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15.000,00 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PZC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Jamstvo po Ugovoru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OV-5100/2022; OV-5101/2022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Rekonstrukcija i modernizacija dijela nogostupa u Velikom Trojstvu, Ulica Braće Radić – faza 2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9.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29.09.2022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49.944,44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GRAD-IM, obrt za graditeljstvo, </w:t>
            </w:r>
            <w:proofErr w:type="spellStart"/>
            <w:r w:rsidRPr="00853BAF">
              <w:rPr>
                <w:color w:val="000000"/>
                <w:sz w:val="14"/>
                <w:szCs w:val="14"/>
              </w:rPr>
              <w:t>vl</w:t>
            </w:r>
            <w:proofErr w:type="spellEnd"/>
            <w:r w:rsidRPr="00853BAF">
              <w:rPr>
                <w:color w:val="000000"/>
                <w:sz w:val="14"/>
                <w:szCs w:val="14"/>
              </w:rPr>
              <w:t>. Ivan Marković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Garancija za uredno ispunjavanje ugovorne obveze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5402315097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12.3.2023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"Građenje građevine javne i društvene namjene, 2.b skupine - mrtvačnica u Višnjevcu"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10.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03.11.2022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  47.434,25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PZC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 za uredno ispunjavanje ugovorne obveze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5402320710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31.10.2024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"Tehničko i gospodarsko održavanje nerazvrstane ceste Vrbica - nastavak LC 37044"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11.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11.11.2022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150.000,00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KOMFORT d.o.o.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Garancija za ozbiljnost ponude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5402322352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30.1.2023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"Rekonstrukcija i opremanje građevine javne i društvene namjene - kulturni centar"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  <w:tr w:rsidR="00853BAF" w:rsidRPr="00853BAF" w:rsidTr="00853BAF">
        <w:trPr>
          <w:jc w:val="center"/>
        </w:trPr>
        <w:tc>
          <w:tcPr>
            <w:tcW w:w="534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  <w:r w:rsidRPr="00853BAF">
              <w:rPr>
                <w:sz w:val="14"/>
                <w:szCs w:val="14"/>
                <w:lang w:eastAsia="hr-HR"/>
              </w:rPr>
              <w:t>12.</w:t>
            </w:r>
          </w:p>
        </w:tc>
        <w:tc>
          <w:tcPr>
            <w:tcW w:w="850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16.11.2022</w:t>
            </w:r>
          </w:p>
        </w:tc>
        <w:tc>
          <w:tcPr>
            <w:tcW w:w="992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Garancija</w:t>
            </w:r>
          </w:p>
        </w:tc>
        <w:tc>
          <w:tcPr>
            <w:tcW w:w="983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        150.000,00 </w:t>
            </w:r>
          </w:p>
        </w:tc>
        <w:tc>
          <w:tcPr>
            <w:tcW w:w="1276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853BAF">
              <w:rPr>
                <w:color w:val="000000"/>
                <w:sz w:val="14"/>
                <w:szCs w:val="14"/>
              </w:rPr>
              <w:t>Hidroregulacija</w:t>
            </w:r>
            <w:proofErr w:type="spellEnd"/>
            <w:r w:rsidRPr="00853BAF">
              <w:rPr>
                <w:color w:val="000000"/>
                <w:sz w:val="14"/>
                <w:szCs w:val="14"/>
              </w:rPr>
              <w:t xml:space="preserve"> d.d.</w:t>
            </w:r>
          </w:p>
        </w:tc>
        <w:tc>
          <w:tcPr>
            <w:tcW w:w="992" w:type="dxa"/>
            <w:vAlign w:val="bottom"/>
          </w:tcPr>
          <w:p w:rsidR="00853BAF" w:rsidRPr="00853BAF" w:rsidRDefault="00853BAF" w:rsidP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 xml:space="preserve">Garancija za ozbiljnost ponude </w:t>
            </w:r>
          </w:p>
        </w:tc>
        <w:tc>
          <w:tcPr>
            <w:tcW w:w="851" w:type="dxa"/>
            <w:vAlign w:val="bottom"/>
          </w:tcPr>
          <w:p w:rsidR="00853BAF" w:rsidRPr="00853BAF" w:rsidRDefault="00853BAF">
            <w:pPr>
              <w:rPr>
                <w:b/>
                <w:color w:val="000000"/>
                <w:sz w:val="10"/>
                <w:szCs w:val="10"/>
              </w:rPr>
            </w:pPr>
            <w:r w:rsidRPr="00853BAF">
              <w:rPr>
                <w:b/>
                <w:color w:val="000000"/>
                <w:sz w:val="10"/>
                <w:szCs w:val="10"/>
              </w:rPr>
              <w:t>323/2022-G-DPVPJS</w:t>
            </w:r>
          </w:p>
        </w:tc>
        <w:tc>
          <w:tcPr>
            <w:tcW w:w="850" w:type="dxa"/>
            <w:vAlign w:val="bottom"/>
          </w:tcPr>
          <w:p w:rsidR="00853BAF" w:rsidRPr="00853BAF" w:rsidRDefault="00853BAF" w:rsidP="00853BAF">
            <w:pPr>
              <w:jc w:val="right"/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30.1.2023</w:t>
            </w:r>
          </w:p>
        </w:tc>
        <w:tc>
          <w:tcPr>
            <w:tcW w:w="1843" w:type="dxa"/>
            <w:vAlign w:val="bottom"/>
          </w:tcPr>
          <w:p w:rsidR="00853BAF" w:rsidRPr="00853BAF" w:rsidRDefault="00853BAF">
            <w:pPr>
              <w:rPr>
                <w:color w:val="000000"/>
                <w:sz w:val="14"/>
                <w:szCs w:val="14"/>
              </w:rPr>
            </w:pPr>
            <w:r w:rsidRPr="00853BAF">
              <w:rPr>
                <w:color w:val="000000"/>
                <w:sz w:val="14"/>
                <w:szCs w:val="14"/>
              </w:rPr>
              <w:t>"Rekonstrukcija i opremanje građevine javne i društvene namjene - kulturni centar"</w:t>
            </w:r>
          </w:p>
        </w:tc>
        <w:tc>
          <w:tcPr>
            <w:tcW w:w="948" w:type="dxa"/>
          </w:tcPr>
          <w:p w:rsidR="00853BAF" w:rsidRPr="00853BAF" w:rsidRDefault="00853BAF" w:rsidP="00442908">
            <w:pPr>
              <w:rPr>
                <w:sz w:val="14"/>
                <w:szCs w:val="14"/>
                <w:lang w:eastAsia="hr-HR"/>
              </w:rPr>
            </w:pPr>
          </w:p>
        </w:tc>
      </w:tr>
    </w:tbl>
    <w:p w:rsidR="00901BE6" w:rsidRPr="00BF26CD" w:rsidRDefault="00901BE6" w:rsidP="00FB655E">
      <w:pPr>
        <w:rPr>
          <w:sz w:val="16"/>
          <w:szCs w:val="24"/>
          <w:lang w:eastAsia="hr-HR"/>
        </w:rPr>
      </w:pPr>
    </w:p>
    <w:p w:rsidR="00FB655E" w:rsidRPr="00FB655E" w:rsidRDefault="00FB655E" w:rsidP="00FB655E">
      <w:pPr>
        <w:rPr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03C84" wp14:editId="04BE5CA3">
                <wp:simplePos x="0" y="0"/>
                <wp:positionH relativeFrom="column">
                  <wp:posOffset>-8255</wp:posOffset>
                </wp:positionH>
                <wp:positionV relativeFrom="paragraph">
                  <wp:posOffset>160655</wp:posOffset>
                </wp:positionV>
                <wp:extent cx="6269355" cy="0"/>
                <wp:effectExtent l="0" t="0" r="0" b="0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-.65pt;margin-top:12.65pt;width:493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"/>
            </w:pict>
          </mc:Fallback>
        </mc:AlternateContent>
      </w:r>
    </w:p>
    <w:p w:rsidR="00CD7BF8" w:rsidRDefault="00CD7BF8" w:rsidP="00FB655E">
      <w:pPr>
        <w:rPr>
          <w:b/>
          <w:bCs/>
        </w:rPr>
      </w:pPr>
    </w:p>
    <w:p w:rsidR="00CD7BF8" w:rsidRDefault="00CD7BF8" w:rsidP="00FB655E">
      <w:pPr>
        <w:rPr>
          <w:b/>
          <w:bCs/>
        </w:rPr>
      </w:pPr>
    </w:p>
    <w:p w:rsidR="00CD7BF8" w:rsidRDefault="00CD7BF8" w:rsidP="00FB655E">
      <w:pPr>
        <w:rPr>
          <w:b/>
          <w:bCs/>
        </w:rPr>
      </w:pPr>
    </w:p>
    <w:p w:rsidR="00CD7BF8" w:rsidRDefault="00CD7BF8" w:rsidP="00FB655E">
      <w:pPr>
        <w:rPr>
          <w:b/>
          <w:bCs/>
        </w:rPr>
      </w:pPr>
    </w:p>
    <w:p w:rsidR="00FB655E" w:rsidRPr="00AD44D6" w:rsidRDefault="00FB655E" w:rsidP="00FB655E">
      <w:pPr>
        <w:rPr>
          <w:b/>
          <w:bCs/>
        </w:rPr>
      </w:pPr>
      <w:r w:rsidRPr="008B096B">
        <w:rPr>
          <w:b/>
          <w:bCs/>
        </w:rPr>
        <w:lastRenderedPageBreak/>
        <w:t>Bilješke</w:t>
      </w:r>
      <w:r w:rsidRPr="00EE6ED6">
        <w:rPr>
          <w:b/>
          <w:bCs/>
          <w:color w:val="FF0000"/>
        </w:rPr>
        <w:t xml:space="preserve"> </w:t>
      </w:r>
      <w:r w:rsidRPr="00AD44D6">
        <w:rPr>
          <w:b/>
          <w:bCs/>
        </w:rPr>
        <w:t>uz obrazac</w:t>
      </w:r>
      <w:r>
        <w:rPr>
          <w:b/>
          <w:bCs/>
        </w:rPr>
        <w:t xml:space="preserve"> prihoda i rashoda, primitaka i izdataka</w:t>
      </w:r>
      <w:r w:rsidRPr="00AD44D6">
        <w:rPr>
          <w:b/>
          <w:bCs/>
        </w:rPr>
        <w:t xml:space="preserve"> </w:t>
      </w:r>
      <w:r>
        <w:rPr>
          <w:b/>
          <w:bCs/>
        </w:rPr>
        <w:t>(</w:t>
      </w:r>
      <w:r w:rsidRPr="00AD44D6">
        <w:rPr>
          <w:b/>
          <w:bCs/>
        </w:rPr>
        <w:t>PR-RAS</w:t>
      </w:r>
      <w:r>
        <w:rPr>
          <w:b/>
          <w:bCs/>
        </w:rPr>
        <w:t>)</w:t>
      </w:r>
    </w:p>
    <w:p w:rsidR="00525694" w:rsidRDefault="00525694"/>
    <w:p w:rsidR="00FB655E" w:rsidRDefault="00FB655E" w:rsidP="00FB655E">
      <w:r>
        <w:t>Ukupno ostvareni prihodi poslovanja (</w:t>
      </w:r>
      <w:r w:rsidR="009D0529">
        <w:t>6</w:t>
      </w:r>
      <w:r>
        <w:t xml:space="preserve">) u </w:t>
      </w:r>
      <w:r w:rsidR="006E71C6">
        <w:t>202</w:t>
      </w:r>
      <w:r w:rsidR="009D0529">
        <w:t>2</w:t>
      </w:r>
      <w:r w:rsidR="006E71C6">
        <w:t>. godini</w:t>
      </w:r>
      <w:r>
        <w:t xml:space="preserve"> iznose </w:t>
      </w:r>
      <w:r w:rsidR="009D0529">
        <w:t>10.772.838,06</w:t>
      </w:r>
      <w:r>
        <w:t xml:space="preserve"> kn</w:t>
      </w:r>
      <w:r w:rsidR="006E71C6">
        <w:t>, dok u</w:t>
      </w:r>
      <w:r>
        <w:t>kupno ostvareni rashodi poslovanja (</w:t>
      </w:r>
      <w:r w:rsidR="009D0529">
        <w:t>3</w:t>
      </w:r>
      <w:r>
        <w:t>) u 202</w:t>
      </w:r>
      <w:r w:rsidR="009D0529">
        <w:t>2</w:t>
      </w:r>
      <w:r>
        <w:t xml:space="preserve">. godini iznose </w:t>
      </w:r>
      <w:r w:rsidR="009D0529">
        <w:t>9.477.130,99</w:t>
      </w:r>
      <w:r w:rsidR="006E71C6">
        <w:t xml:space="preserve"> kn.</w:t>
      </w:r>
      <w:r>
        <w:t xml:space="preserve"> </w:t>
      </w:r>
    </w:p>
    <w:p w:rsidR="00FB655E" w:rsidRDefault="00FB655E" w:rsidP="00FB655E"/>
    <w:p w:rsidR="00FB655E" w:rsidRDefault="00FB655E" w:rsidP="00FB655E">
      <w:r w:rsidRPr="00EF7FC6">
        <w:t>Uku</w:t>
      </w:r>
      <w:r>
        <w:t>pno ostvareni</w:t>
      </w:r>
      <w:r w:rsidR="006E71C6">
        <w:t>h</w:t>
      </w:r>
      <w:r>
        <w:t xml:space="preserve"> prihod</w:t>
      </w:r>
      <w:r w:rsidR="006E71C6">
        <w:t>a</w:t>
      </w:r>
      <w:r>
        <w:t xml:space="preserve"> od prodaje nefinancijske imovine (</w:t>
      </w:r>
      <w:r w:rsidR="009D0529">
        <w:t>7</w:t>
      </w:r>
      <w:r>
        <w:t xml:space="preserve">) </w:t>
      </w:r>
      <w:r w:rsidR="006E71C6">
        <w:t>u 202</w:t>
      </w:r>
      <w:r w:rsidR="009D0529">
        <w:t>2</w:t>
      </w:r>
      <w:r w:rsidR="006E71C6">
        <w:t xml:space="preserve">. godini </w:t>
      </w:r>
      <w:r w:rsidR="00EF7FC6">
        <w:t xml:space="preserve">iznose </w:t>
      </w:r>
      <w:r w:rsidR="009D0529">
        <w:t>203.655,08</w:t>
      </w:r>
      <w:r w:rsidR="00EF7FC6">
        <w:t xml:space="preserve"> kn</w:t>
      </w:r>
      <w:r w:rsidR="006E71C6">
        <w:t>, dok su u</w:t>
      </w:r>
      <w:r>
        <w:t>kupno ostvareni rashodi za nabavu nefinancijske imovine</w:t>
      </w:r>
      <w:r w:rsidR="009D0529">
        <w:t xml:space="preserve"> (4)</w:t>
      </w:r>
      <w:r>
        <w:t xml:space="preserve"> </w:t>
      </w:r>
      <w:r w:rsidR="006E71C6">
        <w:t>ostvareni u iznosu od</w:t>
      </w:r>
      <w:r>
        <w:t xml:space="preserve"> </w:t>
      </w:r>
      <w:r w:rsidR="009D0529">
        <w:t>1.361.612,84</w:t>
      </w:r>
      <w:r w:rsidR="006E71C6">
        <w:t xml:space="preserve"> kn.</w:t>
      </w:r>
    </w:p>
    <w:p w:rsidR="00BF26CD" w:rsidRDefault="00BF26CD" w:rsidP="00FB655E"/>
    <w:p w:rsidR="00FB655E" w:rsidRDefault="00FB655E" w:rsidP="00FB655E">
      <w:r>
        <w:t>Primici od financijske imovine i zaduženja (</w:t>
      </w:r>
      <w:r w:rsidR="009D0529">
        <w:t>8</w:t>
      </w:r>
      <w:r>
        <w:t>), kao ni izdaci za financijsku imovinu i otplatu</w:t>
      </w:r>
      <w:r w:rsidR="006E71C6">
        <w:t xml:space="preserve"> zajma (</w:t>
      </w:r>
      <w:r w:rsidR="009D0529">
        <w:t>5</w:t>
      </w:r>
      <w:r w:rsidR="006E71C6">
        <w:t>) u izvještajnom razdoblju nisu ostvareni.</w:t>
      </w:r>
    </w:p>
    <w:p w:rsidR="00FB655E" w:rsidRDefault="00FB655E" w:rsidP="00FB655E">
      <w:pPr>
        <w:pStyle w:val="Naslov7"/>
        <w:rPr>
          <w:rFonts w:ascii="Times New Roman" w:hAnsi="Times New Roman"/>
          <w:b w:val="0"/>
          <w:sz w:val="24"/>
        </w:rPr>
      </w:pPr>
    </w:p>
    <w:p w:rsidR="00FB655E" w:rsidRPr="00733F1D" w:rsidRDefault="00FB655E" w:rsidP="00FB655E">
      <w:pPr>
        <w:pStyle w:val="Naslov7"/>
        <w:rPr>
          <w:rFonts w:ascii="Times New Roman" w:hAnsi="Times New Roman"/>
          <w:bCs/>
          <w:sz w:val="24"/>
          <w:u w:val="single"/>
        </w:rPr>
      </w:pPr>
      <w:r w:rsidRPr="00733F1D">
        <w:rPr>
          <w:rFonts w:ascii="Times New Roman" w:hAnsi="Times New Roman"/>
          <w:bCs/>
          <w:sz w:val="24"/>
          <w:u w:val="single"/>
        </w:rPr>
        <w:t>PRIHODI PRORAČUNA</w:t>
      </w:r>
    </w:p>
    <w:p w:rsidR="00FB655E" w:rsidRPr="006645D6" w:rsidRDefault="00FB655E" w:rsidP="00FB655E"/>
    <w:p w:rsidR="00FB655E" w:rsidRDefault="00FB655E" w:rsidP="00FB655E">
      <w:r>
        <w:t>Ukupni prihodi i primici</w:t>
      </w:r>
      <w:r w:rsidRPr="001A0EB0">
        <w:t xml:space="preserve"> za 202</w:t>
      </w:r>
      <w:r w:rsidR="009D0529">
        <w:t>2</w:t>
      </w:r>
      <w:r w:rsidRPr="001A0EB0">
        <w:t>. godin</w:t>
      </w:r>
      <w:r w:rsidR="00433FDD">
        <w:t>u</w:t>
      </w:r>
      <w:r w:rsidRPr="001A0EB0">
        <w:t xml:space="preserve"> iznose </w:t>
      </w:r>
      <w:r w:rsidR="00A06AB5">
        <w:t>10.976.493,14</w:t>
      </w:r>
      <w:r w:rsidRPr="001A0EB0">
        <w:t xml:space="preserve"> k</w:t>
      </w:r>
      <w:r w:rsidR="00854AD7">
        <w:t>n</w:t>
      </w:r>
      <w:r w:rsidRPr="001A0EB0">
        <w:t xml:space="preserve"> (</w:t>
      </w:r>
      <w:r w:rsidR="00A06AB5">
        <w:t>X678</w:t>
      </w:r>
      <w:r w:rsidRPr="001A0EB0">
        <w:t>) i to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5375"/>
        <w:gridCol w:w="2604"/>
      </w:tblGrid>
      <w:tr w:rsidR="00EF7FC6" w:rsidRPr="00A36EB2" w:rsidTr="00BF26CD">
        <w:trPr>
          <w:trHeight w:val="253"/>
        </w:trPr>
        <w:tc>
          <w:tcPr>
            <w:tcW w:w="1309" w:type="dxa"/>
            <w:shd w:val="clear" w:color="auto" w:fill="C2D69B"/>
            <w:vAlign w:val="center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A36EB2">
              <w:rPr>
                <w:b/>
                <w:sz w:val="22"/>
              </w:rPr>
              <w:t xml:space="preserve">Račun iz </w:t>
            </w:r>
            <w:proofErr w:type="spellStart"/>
            <w:r w:rsidRPr="00A36EB2">
              <w:rPr>
                <w:b/>
                <w:sz w:val="22"/>
              </w:rPr>
              <w:t>rač</w:t>
            </w:r>
            <w:proofErr w:type="spellEnd"/>
            <w:r w:rsidRPr="00A36EB2">
              <w:rPr>
                <w:b/>
                <w:sz w:val="22"/>
              </w:rPr>
              <w:t>. plana</w:t>
            </w:r>
          </w:p>
        </w:tc>
        <w:tc>
          <w:tcPr>
            <w:tcW w:w="5375" w:type="dxa"/>
            <w:shd w:val="clear" w:color="auto" w:fill="C2D69B"/>
            <w:vAlign w:val="center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A36EB2">
              <w:rPr>
                <w:b/>
                <w:sz w:val="22"/>
              </w:rPr>
              <w:t>Naziv stavke</w:t>
            </w:r>
          </w:p>
        </w:tc>
        <w:tc>
          <w:tcPr>
            <w:tcW w:w="2604" w:type="dxa"/>
            <w:shd w:val="clear" w:color="auto" w:fill="C2D69B"/>
            <w:vAlign w:val="center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A36EB2">
              <w:rPr>
                <w:b/>
                <w:sz w:val="22"/>
              </w:rPr>
              <w:t>Ostvareno u izvještajnom razdoblju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61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sz w:val="22"/>
              </w:rPr>
              <w:t>Prihod od poreza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2.722.763,74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63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sz w:val="22"/>
              </w:rPr>
              <w:t>Pomoći iz inozemstva i od subjekata unutar općeg proračuna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3.869.531,52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64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sz w:val="22"/>
              </w:rPr>
              <w:t>Prihod od imovine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2.751.312,90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65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sz w:val="22"/>
              </w:rPr>
              <w:t>Prihod od upravnih i administrativnih pristojbi, pristojbi po posebnim propisima i naknada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1.245.538,87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66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sz w:val="22"/>
              </w:rPr>
              <w:t>Prihod od prodanih proizvoda i robe, te pruženih usluga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134.043,88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68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bCs/>
                <w:sz w:val="22"/>
              </w:rPr>
              <w:t xml:space="preserve">Kazne upravne mjere i ostali prihodi   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49.647,15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71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bCs/>
              </w:rPr>
              <w:t xml:space="preserve">Prihodi od prodaje </w:t>
            </w:r>
            <w:proofErr w:type="spellStart"/>
            <w:r w:rsidRPr="00A36EB2">
              <w:rPr>
                <w:bCs/>
              </w:rPr>
              <w:t>neproizvedene</w:t>
            </w:r>
            <w:proofErr w:type="spellEnd"/>
            <w:r w:rsidRPr="00A36EB2">
              <w:rPr>
                <w:bCs/>
              </w:rPr>
              <w:t xml:space="preserve"> dugotrajne imovine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46.113,04</w:t>
            </w:r>
          </w:p>
        </w:tc>
      </w:tr>
      <w:tr w:rsidR="00EF7FC6" w:rsidRPr="00A36EB2" w:rsidTr="00BF26CD">
        <w:tc>
          <w:tcPr>
            <w:tcW w:w="1309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A36EB2">
              <w:t>72</w:t>
            </w:r>
          </w:p>
        </w:tc>
        <w:tc>
          <w:tcPr>
            <w:tcW w:w="5375" w:type="dxa"/>
            <w:shd w:val="clear" w:color="auto" w:fill="auto"/>
          </w:tcPr>
          <w:p w:rsidR="00EF7FC6" w:rsidRPr="00A36EB2" w:rsidRDefault="00EF7FC6" w:rsidP="00442908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A36EB2">
              <w:rPr>
                <w:bCs/>
              </w:rPr>
              <w:t>Prihodi od prodaje proizvedene dugotrajne imovine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A36EB2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157.542,04</w:t>
            </w:r>
          </w:p>
        </w:tc>
      </w:tr>
      <w:tr w:rsidR="00EF7FC6" w:rsidRPr="00A36EB2" w:rsidTr="00BF26CD">
        <w:tc>
          <w:tcPr>
            <w:tcW w:w="6684" w:type="dxa"/>
            <w:gridSpan w:val="2"/>
            <w:shd w:val="clear" w:color="auto" w:fill="auto"/>
          </w:tcPr>
          <w:p w:rsidR="00EF7FC6" w:rsidRPr="00A36EB2" w:rsidRDefault="00EF7FC6" w:rsidP="00EF7FC6">
            <w:pPr>
              <w:suppressAutoHyphens/>
              <w:overflowPunct w:val="0"/>
              <w:autoSpaceDE w:val="0"/>
              <w:jc w:val="right"/>
              <w:textAlignment w:val="baseline"/>
              <w:rPr>
                <w:bCs/>
              </w:rPr>
            </w:pPr>
            <w:r w:rsidRPr="00854AD7">
              <w:rPr>
                <w:b/>
                <w:sz w:val="22"/>
              </w:rPr>
              <w:t>UKUPNO: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EF7FC6" w:rsidRPr="00EF7FC6" w:rsidRDefault="00A06AB5" w:rsidP="00442908">
            <w:pPr>
              <w:suppressAutoHyphens/>
              <w:overflowPunct w:val="0"/>
              <w:autoSpaceDE w:val="0"/>
              <w:jc w:val="right"/>
              <w:textAlignment w:val="baseline"/>
              <w:rPr>
                <w:b/>
              </w:rPr>
            </w:pPr>
            <w:r w:rsidRPr="00A06AB5">
              <w:rPr>
                <w:b/>
              </w:rPr>
              <w:t>10.976.493,14</w:t>
            </w:r>
          </w:p>
        </w:tc>
      </w:tr>
    </w:tbl>
    <w:p w:rsidR="00EF7FC6" w:rsidRDefault="00EF7FC6" w:rsidP="00FB655E"/>
    <w:p w:rsidR="000A31B6" w:rsidRDefault="00B540E3" w:rsidP="0042368A">
      <w:pPr>
        <w:rPr>
          <w:bCs/>
        </w:rPr>
      </w:pPr>
      <w:r>
        <w:rPr>
          <w:b/>
          <w:bCs/>
        </w:rPr>
        <w:t>61</w:t>
      </w:r>
      <w:r w:rsidR="0042368A">
        <w:rPr>
          <w:b/>
          <w:bCs/>
        </w:rPr>
        <w:t xml:space="preserve"> - </w:t>
      </w:r>
      <w:r w:rsidR="0042368A" w:rsidRPr="00986334">
        <w:rPr>
          <w:b/>
          <w:bCs/>
        </w:rPr>
        <w:t>Prihodi od poreza</w:t>
      </w:r>
      <w:r w:rsidR="0042368A">
        <w:rPr>
          <w:b/>
          <w:bCs/>
        </w:rPr>
        <w:t xml:space="preserve"> – </w:t>
      </w:r>
      <w:r w:rsidR="0042368A">
        <w:rPr>
          <w:bCs/>
        </w:rPr>
        <w:t xml:space="preserve">Prihodi po ovoj osnovi odnose se u najvećem iznosu na porez i prirez na dohodak od nesamostalnog rada u iznosu </w:t>
      </w:r>
      <w:r>
        <w:rPr>
          <w:bCs/>
        </w:rPr>
        <w:t>2.543.135,72</w:t>
      </w:r>
      <w:r w:rsidR="0042368A">
        <w:rPr>
          <w:bCs/>
        </w:rPr>
        <w:t xml:space="preserve"> kn, što je u odnosu na prethodno izvještajno razdoblje </w:t>
      </w:r>
      <w:r>
        <w:rPr>
          <w:bCs/>
        </w:rPr>
        <w:t>veće</w:t>
      </w:r>
      <w:r w:rsidR="0042368A">
        <w:rPr>
          <w:bCs/>
        </w:rPr>
        <w:t xml:space="preserve"> za </w:t>
      </w:r>
      <w:r>
        <w:rPr>
          <w:bCs/>
        </w:rPr>
        <w:t>37</w:t>
      </w:r>
      <w:r w:rsidR="0042368A">
        <w:rPr>
          <w:bCs/>
        </w:rPr>
        <w:t xml:space="preserve">%, zbog </w:t>
      </w:r>
      <w:r>
        <w:rPr>
          <w:bCs/>
        </w:rPr>
        <w:t>većeg</w:t>
      </w:r>
      <w:r w:rsidR="0042368A">
        <w:rPr>
          <w:bCs/>
        </w:rPr>
        <w:t xml:space="preserve"> priljeva rasporeda sredstava zbrojnih prihoda. </w:t>
      </w:r>
      <w:r>
        <w:rPr>
          <w:bCs/>
        </w:rPr>
        <w:t>P</w:t>
      </w:r>
      <w:r w:rsidR="0042368A">
        <w:rPr>
          <w:bCs/>
        </w:rPr>
        <w:t xml:space="preserve">orez i prirez na dohodak od imovine i imovinskog prava povećan za </w:t>
      </w:r>
      <w:r>
        <w:rPr>
          <w:bCs/>
        </w:rPr>
        <w:t>165,20</w:t>
      </w:r>
      <w:r w:rsidR="0042368A">
        <w:rPr>
          <w:bCs/>
        </w:rPr>
        <w:t>%,</w:t>
      </w:r>
      <w:r>
        <w:rPr>
          <w:bCs/>
        </w:rPr>
        <w:t xml:space="preserve"> u istom izvještajnom razdoblju ostvaren je porez i prirez na dohodak od kapitala, dok je</w:t>
      </w:r>
      <w:r w:rsidR="0042368A">
        <w:rPr>
          <w:bCs/>
        </w:rPr>
        <w:t xml:space="preserve"> povrat poreza i prireza na doho</w:t>
      </w:r>
      <w:r>
        <w:rPr>
          <w:bCs/>
        </w:rPr>
        <w:t>dak po godišnjoj prijavi veći</w:t>
      </w:r>
      <w:r w:rsidR="0042368A">
        <w:rPr>
          <w:bCs/>
        </w:rPr>
        <w:t xml:space="preserve"> za </w:t>
      </w:r>
      <w:r w:rsidR="00BA4F2A">
        <w:rPr>
          <w:bCs/>
        </w:rPr>
        <w:t>22</w:t>
      </w:r>
      <w:r w:rsidR="0042368A">
        <w:rPr>
          <w:bCs/>
        </w:rPr>
        <w:t>% u odnosu na prošlu godinu.</w:t>
      </w:r>
      <w:r w:rsidR="000A31B6">
        <w:rPr>
          <w:bCs/>
        </w:rPr>
        <w:t xml:space="preserve"> Isto proizlazi zbog povećanja obveze obveznika</w:t>
      </w:r>
      <w:r w:rsidR="000A31B6" w:rsidRPr="000A31B6">
        <w:rPr>
          <w:bCs/>
        </w:rPr>
        <w:t xml:space="preserve"> </w:t>
      </w:r>
      <w:r w:rsidR="000A31B6">
        <w:rPr>
          <w:bCs/>
        </w:rPr>
        <w:t>poreza na</w:t>
      </w:r>
      <w:r w:rsidR="000A31B6" w:rsidRPr="000A31B6">
        <w:rPr>
          <w:bCs/>
        </w:rPr>
        <w:t xml:space="preserve"> </w:t>
      </w:r>
      <w:r w:rsidR="000A31B6">
        <w:rPr>
          <w:bCs/>
        </w:rPr>
        <w:t>dohodak, kojima je prebivalište ili uobičajeno boravište na području jedinice lokalne samouprave.</w:t>
      </w:r>
    </w:p>
    <w:p w:rsidR="0042368A" w:rsidRPr="00522976" w:rsidRDefault="0042368A" w:rsidP="0042368A">
      <w:pPr>
        <w:rPr>
          <w:bCs/>
        </w:rPr>
      </w:pPr>
      <w:r>
        <w:rPr>
          <w:bCs/>
        </w:rPr>
        <w:t xml:space="preserve">Stalni porez na nepokretnu imovinu </w:t>
      </w:r>
      <w:r w:rsidR="000A31B6">
        <w:rPr>
          <w:bCs/>
        </w:rPr>
        <w:t>koji se odnosi na</w:t>
      </w:r>
      <w:r>
        <w:rPr>
          <w:bCs/>
        </w:rPr>
        <w:t xml:space="preserve"> porez na kuće za odmor ostvaren</w:t>
      </w:r>
      <w:r w:rsidR="000A31B6">
        <w:rPr>
          <w:bCs/>
        </w:rPr>
        <w:t xml:space="preserve"> je</w:t>
      </w:r>
      <w:r>
        <w:rPr>
          <w:bCs/>
        </w:rPr>
        <w:t xml:space="preserve"> u iznosu od </w:t>
      </w:r>
      <w:r w:rsidR="00B540E3">
        <w:rPr>
          <w:bCs/>
        </w:rPr>
        <w:t>36.324,43</w:t>
      </w:r>
      <w:r w:rsidR="000A31B6">
        <w:rPr>
          <w:bCs/>
        </w:rPr>
        <w:t xml:space="preserve"> </w:t>
      </w:r>
      <w:r>
        <w:rPr>
          <w:bCs/>
        </w:rPr>
        <w:t xml:space="preserve">kn. Ostali prihodi ove skupine odnose se na povremeni porez na imovinu u iznosu od </w:t>
      </w:r>
      <w:r w:rsidR="00BA4F2A">
        <w:rPr>
          <w:bCs/>
        </w:rPr>
        <w:t>255.367,73</w:t>
      </w:r>
      <w:r>
        <w:rPr>
          <w:bCs/>
        </w:rPr>
        <w:t xml:space="preserve"> kn, porez na promet u iznosu od </w:t>
      </w:r>
      <w:r w:rsidR="00BA4F2A">
        <w:rPr>
          <w:bCs/>
        </w:rPr>
        <w:t>26.942,49</w:t>
      </w:r>
      <w:r>
        <w:rPr>
          <w:bCs/>
        </w:rPr>
        <w:t xml:space="preserve"> kn, te porez na korištenje dobara ili izvođenje radova u iznosu od </w:t>
      </w:r>
      <w:r w:rsidR="00BA4F2A">
        <w:rPr>
          <w:bCs/>
        </w:rPr>
        <w:t>1.101,31</w:t>
      </w:r>
      <w:r>
        <w:rPr>
          <w:bCs/>
        </w:rPr>
        <w:t xml:space="preserve"> kn (porez na tvrtku). </w:t>
      </w:r>
      <w:r w:rsidR="00BA4F2A">
        <w:rPr>
          <w:bCs/>
        </w:rPr>
        <w:t>Povremeni porez na imovinu odnosi se na porez na nekretnine, te je u odnosu na prethodno izvještajno razdoblje povećan za 53,6%, zbog sve većeg ulaganja i kupovanja nekretnine na području Općine Veliko Trojstvo, također značajno povećanje odnosi se i na porez na promet za 27</w:t>
      </w:r>
      <w:r w:rsidR="00791FEA">
        <w:rPr>
          <w:bCs/>
        </w:rPr>
        <w:t xml:space="preserve">%, a odnosi se na povećanje poreza na promet roba i usluga uslijed rasta cijena tj. inflacije. </w:t>
      </w:r>
    </w:p>
    <w:p w:rsidR="0042368A" w:rsidRPr="006645D6" w:rsidRDefault="0042368A" w:rsidP="0042368A">
      <w:r w:rsidRPr="00986334">
        <w:rPr>
          <w:b/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42368A" w:rsidRDefault="00115385" w:rsidP="0042368A">
      <w:r>
        <w:rPr>
          <w:b/>
          <w:bCs/>
        </w:rPr>
        <w:lastRenderedPageBreak/>
        <w:t>63</w:t>
      </w:r>
      <w:r w:rsidR="0042368A" w:rsidRPr="00986334">
        <w:rPr>
          <w:b/>
          <w:bCs/>
        </w:rPr>
        <w:t xml:space="preserve"> </w:t>
      </w:r>
      <w:r w:rsidR="0042368A">
        <w:rPr>
          <w:b/>
          <w:bCs/>
        </w:rPr>
        <w:t xml:space="preserve">- Pomoći iz inozemstva i od subjekata unutar općeg proračuna- </w:t>
      </w:r>
      <w:r w:rsidR="0042368A" w:rsidRPr="00307A09">
        <w:rPr>
          <w:bCs/>
        </w:rPr>
        <w:t>Prihodi</w:t>
      </w:r>
      <w:r w:rsidR="0042368A">
        <w:rPr>
          <w:bCs/>
        </w:rPr>
        <w:t xml:space="preserve"> po ovoj osnovi</w:t>
      </w:r>
      <w:r w:rsidR="0042368A">
        <w:rPr>
          <w:b/>
          <w:bCs/>
        </w:rPr>
        <w:t xml:space="preserve"> </w:t>
      </w:r>
      <w:r w:rsidR="0042368A">
        <w:t xml:space="preserve">ostvarene su u iznosu od </w:t>
      </w:r>
      <w:r>
        <w:t>3.869.531,52</w:t>
      </w:r>
      <w:r w:rsidR="0042368A">
        <w:t xml:space="preserve"> kn što je </w:t>
      </w:r>
      <w:r>
        <w:t>manje</w:t>
      </w:r>
      <w:r w:rsidR="0042368A">
        <w:t xml:space="preserve"> za </w:t>
      </w:r>
      <w:r>
        <w:t>68,1</w:t>
      </w:r>
      <w:r w:rsidR="0042368A">
        <w:t xml:space="preserve">% u odnosu na </w:t>
      </w:r>
      <w:r>
        <w:t xml:space="preserve">prethodno </w:t>
      </w:r>
      <w:r w:rsidR="0042368A">
        <w:t xml:space="preserve">razdoblje, a sastoje se od sljedećeg: </w:t>
      </w:r>
    </w:p>
    <w:p w:rsidR="0042368A" w:rsidRDefault="0042368A" w:rsidP="0042368A">
      <w:pPr>
        <w:numPr>
          <w:ilvl w:val="0"/>
          <w:numId w:val="4"/>
        </w:numPr>
      </w:pPr>
      <w:r>
        <w:t>Tekuće pomoći proračunu iz drugih proračuna i izvanproračunskih korisnika (</w:t>
      </w:r>
      <w:r w:rsidR="00115385">
        <w:t>6331</w:t>
      </w:r>
      <w:r>
        <w:t xml:space="preserve">), koje iznose </w:t>
      </w:r>
      <w:r w:rsidR="00115385">
        <w:t>3.150.907,64</w:t>
      </w:r>
      <w:r>
        <w:t xml:space="preserve"> kn, što je u odnosu na prethodno razdoblje </w:t>
      </w:r>
      <w:r w:rsidR="00115385">
        <w:t>manje</w:t>
      </w:r>
      <w:r>
        <w:t xml:space="preserve"> za </w:t>
      </w:r>
      <w:r w:rsidR="00115385">
        <w:t>7,1</w:t>
      </w:r>
      <w:r w:rsidR="00044C89">
        <w:t>%</w:t>
      </w:r>
      <w:r w:rsidR="00115385">
        <w:t xml:space="preserve"> kn</w:t>
      </w:r>
      <w:r>
        <w:t xml:space="preserve">. </w:t>
      </w:r>
    </w:p>
    <w:p w:rsidR="0042368A" w:rsidRPr="00115385" w:rsidRDefault="0042368A" w:rsidP="00115385">
      <w:pPr>
        <w:numPr>
          <w:ilvl w:val="1"/>
          <w:numId w:val="4"/>
        </w:numPr>
      </w:pPr>
      <w:r>
        <w:t xml:space="preserve">Na tekuće pomoći iz državnog proračuna odnosi se iznos od </w:t>
      </w:r>
      <w:r w:rsidR="00115385">
        <w:t>3.137.907,64</w:t>
      </w:r>
      <w:r w:rsidR="00044C89" w:rsidRPr="00115385">
        <w:t xml:space="preserve"> </w:t>
      </w:r>
      <w:r w:rsidRPr="00115385">
        <w:t>kn (</w:t>
      </w:r>
      <w:r w:rsidR="00115385">
        <w:t>fiskalno izravnanje</w:t>
      </w:r>
      <w:r w:rsidR="00044C89" w:rsidRPr="00115385">
        <w:t xml:space="preserve">, </w:t>
      </w:r>
      <w:r w:rsidRPr="00115385">
        <w:t xml:space="preserve">prijenos predujma Programa „Zaželi“ – </w:t>
      </w:r>
      <w:proofErr w:type="spellStart"/>
      <w:r w:rsidRPr="00115385">
        <w:t>Trojačke</w:t>
      </w:r>
      <w:proofErr w:type="spellEnd"/>
      <w:r w:rsidRPr="00115385">
        <w:t xml:space="preserve"> ruže</w:t>
      </w:r>
      <w:r w:rsidR="00115385">
        <w:t xml:space="preserve"> – faza III</w:t>
      </w:r>
      <w:r w:rsidRPr="00115385">
        <w:t>)</w:t>
      </w:r>
    </w:p>
    <w:p w:rsidR="0042368A" w:rsidRDefault="0042368A" w:rsidP="00044C89">
      <w:pPr>
        <w:numPr>
          <w:ilvl w:val="1"/>
          <w:numId w:val="4"/>
        </w:numPr>
      </w:pPr>
      <w:r>
        <w:t xml:space="preserve">Na tekuće pomoći iz županijskog proračuna odnosi se iznos od </w:t>
      </w:r>
      <w:r w:rsidR="00115385">
        <w:t xml:space="preserve">13.000,00 </w:t>
      </w:r>
      <w:r>
        <w:t xml:space="preserve">kn, a odnosi se na sredstva doznačena </w:t>
      </w:r>
      <w:r w:rsidR="00115385">
        <w:t>od TZ Bjelovarsko-bilogorske županije za sufinanciranje događanja na području Općine Veliko Trojstvo (</w:t>
      </w:r>
      <w:proofErr w:type="spellStart"/>
      <w:r w:rsidR="00115385">
        <w:t>Gulašijada</w:t>
      </w:r>
      <w:proofErr w:type="spellEnd"/>
      <w:r w:rsidR="00115385">
        <w:t>, Etno festival)</w:t>
      </w:r>
      <w:r w:rsidR="00044C89">
        <w:t>.</w:t>
      </w:r>
    </w:p>
    <w:p w:rsidR="0042368A" w:rsidRDefault="0042368A" w:rsidP="0042368A">
      <w:pPr>
        <w:numPr>
          <w:ilvl w:val="0"/>
          <w:numId w:val="4"/>
        </w:numPr>
      </w:pPr>
      <w:r>
        <w:t>Kapitalne pomoći proračunu iz drugih proračuna i izvanproračunskim korisnicima (</w:t>
      </w:r>
      <w:r w:rsidR="00115385">
        <w:t>6332</w:t>
      </w:r>
      <w:r>
        <w:t xml:space="preserve">), koje iznose </w:t>
      </w:r>
      <w:r w:rsidR="00115385">
        <w:t>699.549,60</w:t>
      </w:r>
      <w:r>
        <w:t xml:space="preserve"> kn,</w:t>
      </w:r>
      <w:r w:rsidRPr="00EF2B6D">
        <w:t xml:space="preserve"> </w:t>
      </w:r>
      <w:r>
        <w:t xml:space="preserve">što je u odnosu na prethodno razdoblje </w:t>
      </w:r>
      <w:r w:rsidR="00044C89">
        <w:t>manje</w:t>
      </w:r>
      <w:r>
        <w:t xml:space="preserve"> za </w:t>
      </w:r>
      <w:r w:rsidR="00115385">
        <w:t>91,9</w:t>
      </w:r>
      <w:r w:rsidR="00044C89">
        <w:t>%.</w:t>
      </w:r>
    </w:p>
    <w:p w:rsidR="0042368A" w:rsidRPr="00115385" w:rsidRDefault="0042368A" w:rsidP="00115385">
      <w:pPr>
        <w:numPr>
          <w:ilvl w:val="1"/>
          <w:numId w:val="4"/>
        </w:numPr>
      </w:pPr>
      <w:r>
        <w:t xml:space="preserve">Na kapitalne pomoći iz državnog proračuna odnosi </w:t>
      </w:r>
      <w:r w:rsidR="00115385">
        <w:t>cjelokupni iznos</w:t>
      </w:r>
      <w:r w:rsidR="00B46E7B">
        <w:t xml:space="preserve">, a navedeno se odnosi na doznačena sredstva za projekte: </w:t>
      </w:r>
      <w:r w:rsidR="00B46E7B" w:rsidRPr="00115385">
        <w:t>Vidikovac – adaptacija i uređenje okoliša</w:t>
      </w:r>
      <w:r w:rsidR="00D44D5E" w:rsidRPr="00115385">
        <w:t>,</w:t>
      </w:r>
      <w:r w:rsidR="00115385">
        <w:t xml:space="preserve"> </w:t>
      </w:r>
      <w:r w:rsidR="00115385" w:rsidRPr="00115385">
        <w:t>Tehničko i gospodarsko održavanje nerazvrstane ceste - Ul. Vinogradska II (</w:t>
      </w:r>
      <w:proofErr w:type="spellStart"/>
      <w:r w:rsidR="00115385" w:rsidRPr="00115385">
        <w:t>Krupski</w:t>
      </w:r>
      <w:proofErr w:type="spellEnd"/>
      <w:r w:rsidR="00115385" w:rsidRPr="00115385">
        <w:t xml:space="preserve"> brijeg)</w:t>
      </w:r>
      <w:r w:rsidR="00115385">
        <w:t xml:space="preserve">, </w:t>
      </w:r>
      <w:r w:rsidR="00115385" w:rsidRPr="00115385">
        <w:t>Tehničko i gospodarsko održavanje nerazvrstane ceste Vrbica - nastavak LC 37044</w:t>
      </w:r>
      <w:r w:rsidR="00115385">
        <w:t xml:space="preserve"> i sredstva </w:t>
      </w:r>
      <w:r w:rsidR="00115385" w:rsidRPr="00115385">
        <w:t>Središnj</w:t>
      </w:r>
      <w:r w:rsidR="00115385">
        <w:t>eg</w:t>
      </w:r>
      <w:r w:rsidR="00115385" w:rsidRPr="00115385">
        <w:t xml:space="preserve"> državn</w:t>
      </w:r>
      <w:r w:rsidR="00115385">
        <w:t>og</w:t>
      </w:r>
      <w:r w:rsidR="00115385" w:rsidRPr="00115385">
        <w:t xml:space="preserve"> ured za demografiju i mlade - sufinanciranje rada vrtića</w:t>
      </w:r>
    </w:p>
    <w:p w:rsidR="0042368A" w:rsidRDefault="0042368A" w:rsidP="0042368A">
      <w:pPr>
        <w:numPr>
          <w:ilvl w:val="0"/>
          <w:numId w:val="4"/>
        </w:numPr>
      </w:pPr>
      <w:r>
        <w:t>Tekuće pomoći od izvanproračunskih korisnika (</w:t>
      </w:r>
      <w:r w:rsidR="00115385">
        <w:t>6341</w:t>
      </w:r>
      <w:r>
        <w:t xml:space="preserve">), koje iznose </w:t>
      </w:r>
      <w:r w:rsidR="00115385">
        <w:t>13.674,28</w:t>
      </w:r>
      <w:r>
        <w:t xml:space="preserve"> kn, </w:t>
      </w:r>
      <w:r w:rsidRPr="0080503A">
        <w:t xml:space="preserve">a </w:t>
      </w:r>
      <w:r w:rsidR="00D44D5E">
        <w:t>odnose se na doznačena sredstva za</w:t>
      </w:r>
      <w:r w:rsidRPr="0080503A">
        <w:t xml:space="preserve"> financiranja plać</w:t>
      </w:r>
      <w:r>
        <w:t>a</w:t>
      </w:r>
      <w:r w:rsidRPr="0080503A">
        <w:t xml:space="preserve"> javnih radova</w:t>
      </w:r>
      <w:r>
        <w:t>.</w:t>
      </w:r>
    </w:p>
    <w:p w:rsidR="004123EA" w:rsidRDefault="004123EA" w:rsidP="0042368A">
      <w:pPr>
        <w:numPr>
          <w:ilvl w:val="0"/>
          <w:numId w:val="4"/>
        </w:numPr>
      </w:pPr>
      <w:r>
        <w:t xml:space="preserve">Tekuće pomoći proračunskim korisnicima iz proračuna koji im nije nadležan (6361) – odnosi se na sredstva doznačena za sufinanciranje programa </w:t>
      </w:r>
      <w:proofErr w:type="spellStart"/>
      <w:r>
        <w:t>predškole</w:t>
      </w:r>
      <w:proofErr w:type="spellEnd"/>
      <w:r>
        <w:t>.</w:t>
      </w:r>
    </w:p>
    <w:p w:rsidR="0042368A" w:rsidRDefault="0042368A" w:rsidP="0042368A">
      <w:pPr>
        <w:ind w:left="700" w:hanging="700"/>
      </w:pPr>
    </w:p>
    <w:p w:rsidR="0042368A" w:rsidRDefault="004123EA" w:rsidP="0042368A">
      <w:pPr>
        <w:ind w:left="700" w:hanging="700"/>
      </w:pPr>
      <w:r>
        <w:rPr>
          <w:b/>
          <w:bCs/>
        </w:rPr>
        <w:t>64</w:t>
      </w:r>
      <w:r w:rsidR="0042368A">
        <w:rPr>
          <w:b/>
          <w:bCs/>
        </w:rPr>
        <w:t xml:space="preserve"> - </w:t>
      </w:r>
      <w:r w:rsidR="0042368A" w:rsidRPr="00BC5F2C">
        <w:rPr>
          <w:b/>
          <w:bCs/>
        </w:rPr>
        <w:t>Prihod od imovine</w:t>
      </w:r>
      <w:r w:rsidR="0042368A">
        <w:rPr>
          <w:b/>
          <w:bCs/>
        </w:rPr>
        <w:t xml:space="preserve"> – </w:t>
      </w:r>
      <w:r w:rsidR="0042368A">
        <w:rPr>
          <w:bCs/>
        </w:rPr>
        <w:t xml:space="preserve">Prihodi po ovoj osnovi ostvareni su u iznosu od </w:t>
      </w:r>
      <w:r>
        <w:rPr>
          <w:bCs/>
        </w:rPr>
        <w:t>2.751.312,90</w:t>
      </w:r>
      <w:r w:rsidR="0042368A">
        <w:rPr>
          <w:bCs/>
        </w:rPr>
        <w:t xml:space="preserve"> kn</w:t>
      </w:r>
      <w:r w:rsidR="00D44D5E">
        <w:rPr>
          <w:bCs/>
        </w:rPr>
        <w:t xml:space="preserve">, a u odnosu na </w:t>
      </w:r>
      <w:r w:rsidR="0042368A">
        <w:rPr>
          <w:bCs/>
        </w:rPr>
        <w:t>prethodno razdoblje</w:t>
      </w:r>
      <w:r w:rsidR="00D44D5E">
        <w:rPr>
          <w:bCs/>
        </w:rPr>
        <w:t xml:space="preserve"> povećali su se za </w:t>
      </w:r>
      <w:r>
        <w:rPr>
          <w:bCs/>
        </w:rPr>
        <w:t>61,6</w:t>
      </w:r>
      <w:r w:rsidR="00D44D5E">
        <w:rPr>
          <w:bCs/>
        </w:rPr>
        <w:t>%</w:t>
      </w:r>
      <w:r w:rsidR="0042368A">
        <w:rPr>
          <w:bCs/>
        </w:rPr>
        <w:t xml:space="preserve">, a </w:t>
      </w:r>
      <w:r w:rsidR="0042368A">
        <w:t>odnose se na:</w:t>
      </w:r>
    </w:p>
    <w:p w:rsidR="0042368A" w:rsidRDefault="0042368A" w:rsidP="0042368A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Naknada za koncesije u iznosu od </w:t>
      </w:r>
      <w:r w:rsidR="004123EA">
        <w:rPr>
          <w:bCs/>
        </w:rPr>
        <w:t>356,40</w:t>
      </w:r>
      <w:r>
        <w:rPr>
          <w:bCs/>
        </w:rPr>
        <w:t xml:space="preserve"> kn</w:t>
      </w:r>
    </w:p>
    <w:p w:rsidR="0042368A" w:rsidRPr="005C519A" w:rsidRDefault="0042368A" w:rsidP="00D44D5E">
      <w:pPr>
        <w:numPr>
          <w:ilvl w:val="0"/>
          <w:numId w:val="5"/>
        </w:numPr>
        <w:rPr>
          <w:bCs/>
        </w:rPr>
      </w:pPr>
      <w:r w:rsidRPr="005C519A">
        <w:t>Naknade za otkopanu količinu mineralnih sirovina (nafta i</w:t>
      </w:r>
      <w:r>
        <w:rPr>
          <w:bCs/>
        </w:rPr>
        <w:t xml:space="preserve">  </w:t>
      </w:r>
      <w:r w:rsidRPr="005C519A">
        <w:t xml:space="preserve">plinske rente) u iznosu od </w:t>
      </w:r>
      <w:r w:rsidR="004123EA">
        <w:t>2.629.215,17</w:t>
      </w:r>
      <w:r w:rsidR="00D44D5E">
        <w:t xml:space="preserve"> </w:t>
      </w:r>
      <w:r>
        <w:t>kn</w:t>
      </w:r>
      <w:r w:rsidR="004123EA">
        <w:t>. Razlog značajnog povećanja ove vrste prihoda je povećanje cijena sirovina nafte i plina, temeljem kojih se vrši obračun.</w:t>
      </w:r>
    </w:p>
    <w:p w:rsidR="0042368A" w:rsidRPr="005C519A" w:rsidRDefault="0042368A" w:rsidP="0042368A">
      <w:pPr>
        <w:numPr>
          <w:ilvl w:val="0"/>
          <w:numId w:val="5"/>
        </w:numPr>
        <w:rPr>
          <w:bCs/>
        </w:rPr>
      </w:pPr>
      <w:r>
        <w:t xml:space="preserve">Prihodi od spomeničke rente u iznosu od </w:t>
      </w:r>
      <w:r w:rsidR="004123EA">
        <w:t>8,17</w:t>
      </w:r>
      <w:r>
        <w:t xml:space="preserve"> kn</w:t>
      </w:r>
    </w:p>
    <w:p w:rsidR="0042368A" w:rsidRPr="005C519A" w:rsidRDefault="0042368A" w:rsidP="0042368A">
      <w:pPr>
        <w:numPr>
          <w:ilvl w:val="0"/>
          <w:numId w:val="5"/>
        </w:numPr>
        <w:rPr>
          <w:bCs/>
        </w:rPr>
      </w:pPr>
      <w:r>
        <w:t xml:space="preserve">Naknada za pravo služnosti u iznosu do </w:t>
      </w:r>
      <w:r w:rsidR="001D651B">
        <w:t>119.0</w:t>
      </w:r>
      <w:r w:rsidR="004123EA">
        <w:t>75,87</w:t>
      </w:r>
      <w:r>
        <w:t xml:space="preserve"> kn</w:t>
      </w:r>
    </w:p>
    <w:p w:rsidR="0042368A" w:rsidRDefault="0042368A" w:rsidP="0042368A">
      <w:pPr>
        <w:numPr>
          <w:ilvl w:val="0"/>
          <w:numId w:val="5"/>
        </w:numPr>
        <w:rPr>
          <w:bCs/>
        </w:rPr>
      </w:pPr>
      <w:r>
        <w:t xml:space="preserve">Prihoda od naknada za zadržavanje nezakonito izgrađene građevine u prostoru </w:t>
      </w:r>
      <w:r>
        <w:rPr>
          <w:bCs/>
        </w:rPr>
        <w:t xml:space="preserve">u iznosu od </w:t>
      </w:r>
      <w:r w:rsidR="004123EA">
        <w:rPr>
          <w:bCs/>
        </w:rPr>
        <w:t>2.657,29</w:t>
      </w:r>
      <w:r>
        <w:rPr>
          <w:bCs/>
        </w:rPr>
        <w:t xml:space="preserve"> kn</w:t>
      </w:r>
    </w:p>
    <w:p w:rsidR="0042368A" w:rsidRDefault="0042368A" w:rsidP="0042368A">
      <w:pPr>
        <w:rPr>
          <w:bCs/>
        </w:rPr>
      </w:pPr>
      <w:r>
        <w:rPr>
          <w:bCs/>
        </w:rPr>
        <w:t xml:space="preserve">Prihodi navedene skupine </w:t>
      </w:r>
      <w:r w:rsidR="00D44D5E">
        <w:rPr>
          <w:bCs/>
        </w:rPr>
        <w:t>u najvećoj mjeri su se povećali zbog rasta cijene mineralnih sirovina, odnosno više doznačenih sredstava za rentu.</w:t>
      </w:r>
    </w:p>
    <w:p w:rsidR="0042368A" w:rsidRDefault="0042368A" w:rsidP="0042368A"/>
    <w:p w:rsidR="0042368A" w:rsidRDefault="00497A83" w:rsidP="0042368A">
      <w:r>
        <w:rPr>
          <w:b/>
          <w:bCs/>
        </w:rPr>
        <w:t>65</w:t>
      </w:r>
      <w:r w:rsidR="0042368A" w:rsidRPr="000413AD">
        <w:rPr>
          <w:b/>
          <w:bCs/>
        </w:rPr>
        <w:t xml:space="preserve"> </w:t>
      </w:r>
      <w:r w:rsidR="0042368A">
        <w:rPr>
          <w:b/>
          <w:bCs/>
        </w:rPr>
        <w:t xml:space="preserve">- </w:t>
      </w:r>
      <w:r w:rsidR="0042368A" w:rsidRPr="00B35730">
        <w:rPr>
          <w:b/>
        </w:rPr>
        <w:t>Prihod od upravnih i administrativnih pristojbi, pristojbi po posebnim propisima i naknada</w:t>
      </w:r>
      <w:r w:rsidR="0042368A">
        <w:rPr>
          <w:b/>
        </w:rPr>
        <w:t xml:space="preserve"> – </w:t>
      </w:r>
      <w:r w:rsidR="0042368A">
        <w:t xml:space="preserve">Prihodi  po ovoj osnovi ostvareni su u iznosu od </w:t>
      </w:r>
      <w:r>
        <w:t>1.245.538,87</w:t>
      </w:r>
      <w:r w:rsidR="0042368A">
        <w:t xml:space="preserve"> kn </w:t>
      </w:r>
      <w:r w:rsidR="0042368A">
        <w:rPr>
          <w:bCs/>
        </w:rPr>
        <w:t xml:space="preserve">te </w:t>
      </w:r>
      <w:r w:rsidR="001D651B">
        <w:rPr>
          <w:bCs/>
        </w:rPr>
        <w:t>s</w:t>
      </w:r>
      <w:r w:rsidR="0042368A">
        <w:rPr>
          <w:bCs/>
        </w:rPr>
        <w:t xml:space="preserve">u </w:t>
      </w:r>
      <w:r w:rsidR="001D651B">
        <w:rPr>
          <w:bCs/>
        </w:rPr>
        <w:t xml:space="preserve">u </w:t>
      </w:r>
      <w:r w:rsidR="0042368A">
        <w:rPr>
          <w:bCs/>
        </w:rPr>
        <w:t>odnosu na prethodno razdoblje</w:t>
      </w:r>
      <w:r w:rsidR="001D651B">
        <w:rPr>
          <w:bCs/>
        </w:rPr>
        <w:t xml:space="preserve"> </w:t>
      </w:r>
      <w:r>
        <w:rPr>
          <w:bCs/>
        </w:rPr>
        <w:t>veći</w:t>
      </w:r>
      <w:r w:rsidR="001D651B">
        <w:rPr>
          <w:bCs/>
        </w:rPr>
        <w:t xml:space="preserve"> za </w:t>
      </w:r>
      <w:r>
        <w:rPr>
          <w:bCs/>
        </w:rPr>
        <w:t>14,5</w:t>
      </w:r>
      <w:r w:rsidR="001D651B">
        <w:rPr>
          <w:bCs/>
        </w:rPr>
        <w:t>%</w:t>
      </w:r>
      <w:r w:rsidR="0042368A">
        <w:t xml:space="preserve">, a </w:t>
      </w:r>
      <w:r w:rsidR="0042368A" w:rsidRPr="00896092">
        <w:t xml:space="preserve">odnose se </w:t>
      </w:r>
      <w:r w:rsidR="0042368A">
        <w:t>na:</w:t>
      </w:r>
    </w:p>
    <w:p w:rsidR="0042368A" w:rsidRPr="00B35730" w:rsidRDefault="0042368A" w:rsidP="0042368A">
      <w:pPr>
        <w:rPr>
          <w:bCs/>
        </w:rPr>
      </w:pPr>
    </w:p>
    <w:p w:rsidR="0042368A" w:rsidRDefault="0042368A" w:rsidP="0042368A">
      <w:pPr>
        <w:numPr>
          <w:ilvl w:val="0"/>
          <w:numId w:val="6"/>
        </w:numPr>
      </w:pPr>
      <w:r w:rsidRPr="00B35730">
        <w:t xml:space="preserve">Prihoda od prodaje državnih biljega u iznosu od </w:t>
      </w:r>
      <w:r w:rsidR="00497A83">
        <w:t>6,14</w:t>
      </w:r>
      <w:r w:rsidRPr="00B35730">
        <w:t xml:space="preserve"> kn</w:t>
      </w:r>
    </w:p>
    <w:p w:rsidR="0042368A" w:rsidRDefault="0042368A" w:rsidP="0042368A">
      <w:pPr>
        <w:numPr>
          <w:ilvl w:val="0"/>
          <w:numId w:val="6"/>
        </w:numPr>
      </w:pPr>
      <w:r w:rsidRPr="00B35730">
        <w:t>Ostal</w:t>
      </w:r>
      <w:r>
        <w:t>e</w:t>
      </w:r>
      <w:r w:rsidRPr="00B35730">
        <w:t xml:space="preserve"> pristojb</w:t>
      </w:r>
      <w:r>
        <w:t>e</w:t>
      </w:r>
      <w:r w:rsidRPr="00B35730">
        <w:t xml:space="preserve"> i naknad</w:t>
      </w:r>
      <w:r>
        <w:t>e</w:t>
      </w:r>
      <w:r w:rsidRPr="00B35730">
        <w:t xml:space="preserve"> u iznosu od </w:t>
      </w:r>
      <w:r w:rsidR="00497A83">
        <w:t>920,67</w:t>
      </w:r>
      <w:r w:rsidRPr="00B35730">
        <w:t xml:space="preserve"> kn</w:t>
      </w:r>
      <w:r w:rsidR="00896092">
        <w:t xml:space="preserve"> (boravišna pristojba i prihod od prenamjene zemljišta)</w:t>
      </w:r>
    </w:p>
    <w:p w:rsidR="0042368A" w:rsidRPr="00B35730" w:rsidRDefault="0042368A" w:rsidP="0042368A">
      <w:pPr>
        <w:numPr>
          <w:ilvl w:val="0"/>
          <w:numId w:val="6"/>
        </w:numPr>
      </w:pPr>
      <w:r>
        <w:lastRenderedPageBreak/>
        <w:t>V</w:t>
      </w:r>
      <w:r w:rsidRPr="00B35730">
        <w:t>odn</w:t>
      </w:r>
      <w:r>
        <w:t>i doprinos</w:t>
      </w:r>
      <w:r w:rsidRPr="00B35730">
        <w:t xml:space="preserve"> u iznosu od </w:t>
      </w:r>
      <w:r w:rsidR="00497A83">
        <w:t>835,18</w:t>
      </w:r>
      <w:r w:rsidRPr="00B35730">
        <w:t xml:space="preserve"> kn</w:t>
      </w:r>
    </w:p>
    <w:p w:rsidR="0042368A" w:rsidRDefault="0042368A" w:rsidP="0042368A">
      <w:pPr>
        <w:numPr>
          <w:ilvl w:val="0"/>
          <w:numId w:val="6"/>
        </w:numPr>
      </w:pPr>
      <w:r>
        <w:t xml:space="preserve">Šumski doprinos u iznosu od </w:t>
      </w:r>
      <w:r w:rsidR="00497A83">
        <w:t>393.684,11</w:t>
      </w:r>
      <w:r>
        <w:t xml:space="preserve"> kn</w:t>
      </w:r>
    </w:p>
    <w:p w:rsidR="0042368A" w:rsidRDefault="0042368A" w:rsidP="0042368A">
      <w:pPr>
        <w:numPr>
          <w:ilvl w:val="0"/>
          <w:numId w:val="6"/>
        </w:numPr>
      </w:pPr>
      <w:r>
        <w:t xml:space="preserve">Ostale nespomenute prihode po posebnim propisima (grobna naknada) u iznosu od </w:t>
      </w:r>
      <w:r w:rsidR="00497A83">
        <w:t>144.640,85</w:t>
      </w:r>
      <w:r>
        <w:t xml:space="preserve"> kn </w:t>
      </w:r>
    </w:p>
    <w:p w:rsidR="0042368A" w:rsidRDefault="0042368A" w:rsidP="0042368A">
      <w:pPr>
        <w:numPr>
          <w:ilvl w:val="0"/>
          <w:numId w:val="6"/>
        </w:numPr>
      </w:pPr>
      <w:r>
        <w:t xml:space="preserve">Komunalni doprinos u iznosu </w:t>
      </w:r>
      <w:r w:rsidR="00497A83">
        <w:t>15.988,32</w:t>
      </w:r>
      <w:r>
        <w:t xml:space="preserve"> kn</w:t>
      </w:r>
    </w:p>
    <w:p w:rsidR="0042368A" w:rsidRDefault="0042368A" w:rsidP="0042368A">
      <w:pPr>
        <w:numPr>
          <w:ilvl w:val="0"/>
          <w:numId w:val="6"/>
        </w:numPr>
      </w:pPr>
      <w:r>
        <w:t xml:space="preserve">Komunalnu naknadu u iznosu od </w:t>
      </w:r>
      <w:r w:rsidR="00497A83">
        <w:t xml:space="preserve">668.391,18 </w:t>
      </w:r>
      <w:r>
        <w:t>kn</w:t>
      </w:r>
    </w:p>
    <w:p w:rsidR="0042368A" w:rsidRDefault="0042368A" w:rsidP="0042368A">
      <w:pPr>
        <w:numPr>
          <w:ilvl w:val="0"/>
          <w:numId w:val="6"/>
        </w:numPr>
      </w:pPr>
      <w:r>
        <w:t>N</w:t>
      </w:r>
      <w:r w:rsidRPr="00B35730">
        <w:t>aknad</w:t>
      </w:r>
      <w:r>
        <w:t>u</w:t>
      </w:r>
      <w:r w:rsidRPr="00B35730">
        <w:t xml:space="preserve"> za priključak na mrežu (plin, voda i kanalizacija) u iznosu od </w:t>
      </w:r>
      <w:r w:rsidR="00497A83">
        <w:t>21.072,42</w:t>
      </w:r>
      <w:r w:rsidRPr="00B35730">
        <w:t xml:space="preserve"> kn</w:t>
      </w:r>
      <w:r>
        <w:t>.</w:t>
      </w:r>
    </w:p>
    <w:p w:rsidR="0042368A" w:rsidRDefault="0042368A" w:rsidP="0042368A">
      <w:r>
        <w:rPr>
          <w:bCs/>
        </w:rPr>
        <w:t xml:space="preserve">Prihodi navedene skupine </w:t>
      </w:r>
      <w:r w:rsidR="00896092">
        <w:rPr>
          <w:bCs/>
        </w:rPr>
        <w:t xml:space="preserve">u najvećoj mjeri su se </w:t>
      </w:r>
      <w:r w:rsidR="00497A83">
        <w:rPr>
          <w:bCs/>
        </w:rPr>
        <w:t>povećali zbog većeg zaduženja komunalne naknade, uslijed revizije</w:t>
      </w:r>
      <w:r w:rsidR="00497A83" w:rsidRPr="00497A83">
        <w:t xml:space="preserve"> </w:t>
      </w:r>
      <w:r w:rsidR="00497A83">
        <w:t>i usklade površina stambenog prostora, te uslijed povećanja cijena grobnih naknada.</w:t>
      </w:r>
    </w:p>
    <w:p w:rsidR="00CD7BF8" w:rsidRDefault="00CD7BF8" w:rsidP="0042368A">
      <w:pPr>
        <w:rPr>
          <w:bCs/>
        </w:rPr>
      </w:pPr>
    </w:p>
    <w:p w:rsidR="0042368A" w:rsidRDefault="00497A83" w:rsidP="00CE786C">
      <w:pPr>
        <w:rPr>
          <w:bCs/>
        </w:rPr>
      </w:pPr>
      <w:r>
        <w:rPr>
          <w:b/>
          <w:bCs/>
        </w:rPr>
        <w:t>66</w:t>
      </w:r>
      <w:r w:rsidR="0042368A">
        <w:rPr>
          <w:b/>
          <w:bCs/>
        </w:rPr>
        <w:t xml:space="preserve"> - Prihodi od prodaje proizvoda, robe te pruženih usluga – </w:t>
      </w:r>
      <w:r w:rsidR="0042368A">
        <w:rPr>
          <w:bCs/>
        </w:rPr>
        <w:t xml:space="preserve">Prihodi po ovoj osnovi ostvareni su u iznosu od </w:t>
      </w:r>
      <w:r>
        <w:rPr>
          <w:bCs/>
        </w:rPr>
        <w:t>134.043,88</w:t>
      </w:r>
      <w:r w:rsidR="0042368A">
        <w:rPr>
          <w:bCs/>
        </w:rPr>
        <w:t xml:space="preserve"> kn</w:t>
      </w:r>
      <w:r>
        <w:rPr>
          <w:bCs/>
        </w:rPr>
        <w:t>, što je u odnosu na prethodnu godinu manje za 78,3%</w:t>
      </w:r>
      <w:r w:rsidR="00CE786C">
        <w:rPr>
          <w:bCs/>
        </w:rPr>
        <w:t xml:space="preserve">. Razlog ovako značajnog </w:t>
      </w:r>
      <w:r>
        <w:rPr>
          <w:bCs/>
        </w:rPr>
        <w:t>smanjenja</w:t>
      </w:r>
      <w:r w:rsidR="00CE786C">
        <w:rPr>
          <w:bCs/>
        </w:rPr>
        <w:t xml:space="preserve"> navedene skupine prihoda je kapitalna donacija od strane Erste banke udjela u vlasništvu dijela zgrade kulturne i društvene namjene u vrijednosti 493.000 kn</w:t>
      </w:r>
      <w:r>
        <w:rPr>
          <w:bCs/>
        </w:rPr>
        <w:t xml:space="preserve"> ostvarena u prethodnoj godini</w:t>
      </w:r>
      <w:r w:rsidR="00CE786C">
        <w:rPr>
          <w:bCs/>
        </w:rPr>
        <w:t>. Ostatak</w:t>
      </w:r>
      <w:r w:rsidR="0042368A">
        <w:rPr>
          <w:bCs/>
        </w:rPr>
        <w:t xml:space="preserve"> prihod</w:t>
      </w:r>
      <w:r w:rsidR="00CE786C">
        <w:rPr>
          <w:bCs/>
        </w:rPr>
        <w:t>a ove skupine odnosi se na prihod</w:t>
      </w:r>
      <w:r w:rsidR="0042368A">
        <w:rPr>
          <w:bCs/>
        </w:rPr>
        <w:t xml:space="preserve"> od pružanja usluga:</w:t>
      </w:r>
    </w:p>
    <w:p w:rsidR="0042368A" w:rsidRPr="001859F7" w:rsidRDefault="0042368A" w:rsidP="0042368A">
      <w:pPr>
        <w:numPr>
          <w:ilvl w:val="0"/>
          <w:numId w:val="7"/>
        </w:numPr>
        <w:rPr>
          <w:bCs/>
        </w:rPr>
      </w:pPr>
      <w:r>
        <w:t xml:space="preserve">Usluga na grobljima u iznosu od </w:t>
      </w:r>
      <w:r w:rsidR="00497A83">
        <w:t>36.075,00</w:t>
      </w:r>
      <w:r>
        <w:t xml:space="preserve"> kn</w:t>
      </w:r>
    </w:p>
    <w:p w:rsidR="0042368A" w:rsidRDefault="0042368A" w:rsidP="0042368A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Usluga iznajmljivanja poslovnog prostora u iznosu od </w:t>
      </w:r>
      <w:r w:rsidR="00CE786C">
        <w:rPr>
          <w:bCs/>
        </w:rPr>
        <w:t>2.400</w:t>
      </w:r>
      <w:r w:rsidR="00497A83">
        <w:rPr>
          <w:bCs/>
        </w:rPr>
        <w:t>,00</w:t>
      </w:r>
      <w:r>
        <w:rPr>
          <w:bCs/>
        </w:rPr>
        <w:t xml:space="preserve"> kn</w:t>
      </w:r>
    </w:p>
    <w:p w:rsidR="0042368A" w:rsidRDefault="0042368A" w:rsidP="0042368A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Usluga rada komunalnog stroja u iznosu od </w:t>
      </w:r>
      <w:r w:rsidR="00CE786C">
        <w:rPr>
          <w:bCs/>
        </w:rPr>
        <w:t>52.</w:t>
      </w:r>
      <w:r w:rsidR="00497A83">
        <w:rPr>
          <w:bCs/>
        </w:rPr>
        <w:t>605,00</w:t>
      </w:r>
      <w:r w:rsidR="00CE786C">
        <w:rPr>
          <w:bCs/>
        </w:rPr>
        <w:t xml:space="preserve"> </w:t>
      </w:r>
      <w:r>
        <w:rPr>
          <w:bCs/>
        </w:rPr>
        <w:t>kn</w:t>
      </w:r>
    </w:p>
    <w:p w:rsidR="0042368A" w:rsidRDefault="0042368A" w:rsidP="0042368A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Usluga čišćenja poslovnog prostora u iznosu </w:t>
      </w:r>
      <w:r w:rsidR="00CE786C">
        <w:rPr>
          <w:bCs/>
        </w:rPr>
        <w:t>2.220</w:t>
      </w:r>
      <w:r w:rsidR="00497A83">
        <w:rPr>
          <w:bCs/>
        </w:rPr>
        <w:t>,00</w:t>
      </w:r>
      <w:r>
        <w:rPr>
          <w:bCs/>
        </w:rPr>
        <w:t xml:space="preserve"> kn</w:t>
      </w:r>
    </w:p>
    <w:p w:rsidR="0042368A" w:rsidRDefault="0042368A" w:rsidP="0042368A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Usluga korištenja distributivne mreže u iznosu od </w:t>
      </w:r>
      <w:r w:rsidR="00497A83">
        <w:rPr>
          <w:bCs/>
        </w:rPr>
        <w:t>15.226,18</w:t>
      </w:r>
      <w:r>
        <w:rPr>
          <w:bCs/>
        </w:rPr>
        <w:t xml:space="preserve"> kn</w:t>
      </w:r>
    </w:p>
    <w:p w:rsidR="0042368A" w:rsidRDefault="0042368A" w:rsidP="0042368A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Usluge naplate NUV-a u iznosu od </w:t>
      </w:r>
      <w:r w:rsidR="00497A83">
        <w:rPr>
          <w:bCs/>
        </w:rPr>
        <w:t>22.517,70</w:t>
      </w:r>
      <w:r w:rsidR="001927DB">
        <w:rPr>
          <w:bCs/>
        </w:rPr>
        <w:t xml:space="preserve"> kn</w:t>
      </w:r>
    </w:p>
    <w:p w:rsidR="001927DB" w:rsidRPr="001859F7" w:rsidRDefault="001927DB" w:rsidP="001927DB">
      <w:pPr>
        <w:numPr>
          <w:ilvl w:val="0"/>
          <w:numId w:val="7"/>
        </w:numPr>
        <w:rPr>
          <w:bCs/>
        </w:rPr>
      </w:pPr>
      <w:r>
        <w:rPr>
          <w:bCs/>
        </w:rPr>
        <w:t>Donacija donacija Hrvatskih</w:t>
      </w:r>
      <w:r w:rsidRPr="001927DB">
        <w:rPr>
          <w:bCs/>
        </w:rPr>
        <w:t xml:space="preserve"> šum</w:t>
      </w:r>
      <w:r>
        <w:rPr>
          <w:bCs/>
        </w:rPr>
        <w:t>a -</w:t>
      </w:r>
      <w:r w:rsidRPr="001927DB">
        <w:rPr>
          <w:bCs/>
        </w:rPr>
        <w:t xml:space="preserve"> Uprava šuma Bjelovar</w:t>
      </w:r>
      <w:r>
        <w:rPr>
          <w:bCs/>
        </w:rPr>
        <w:t xml:space="preserve"> za Etno festival u iznosu 3.000,00 kn</w:t>
      </w:r>
    </w:p>
    <w:p w:rsidR="0042368A" w:rsidRPr="006645D6" w:rsidRDefault="0042368A" w:rsidP="0042368A">
      <w:pPr>
        <w:ind w:right="-494"/>
      </w:pPr>
    </w:p>
    <w:p w:rsidR="0042368A" w:rsidRPr="00191685" w:rsidRDefault="001927DB" w:rsidP="0042368A">
      <w:r>
        <w:rPr>
          <w:b/>
          <w:bCs/>
        </w:rPr>
        <w:t>68</w:t>
      </w:r>
      <w:r w:rsidR="0042368A">
        <w:rPr>
          <w:b/>
          <w:bCs/>
        </w:rPr>
        <w:t xml:space="preserve"> - Kazne, upravne mjere i ostali prihodi – </w:t>
      </w:r>
      <w:r w:rsidR="0042368A">
        <w:rPr>
          <w:bCs/>
        </w:rPr>
        <w:t xml:space="preserve">Prihodi po ovoj osnovi ostvareni su u iznosu od </w:t>
      </w:r>
      <w:r>
        <w:rPr>
          <w:bCs/>
        </w:rPr>
        <w:t>49.647,15</w:t>
      </w:r>
      <w:r w:rsidR="0042368A">
        <w:rPr>
          <w:bCs/>
        </w:rPr>
        <w:t xml:space="preserve"> kn</w:t>
      </w:r>
      <w:r w:rsidR="007352E8">
        <w:rPr>
          <w:bCs/>
        </w:rPr>
        <w:t xml:space="preserve">. </w:t>
      </w:r>
      <w:r w:rsidR="0042368A">
        <w:rPr>
          <w:bCs/>
        </w:rPr>
        <w:t>U odnosu na p</w:t>
      </w:r>
      <w:r>
        <w:rPr>
          <w:bCs/>
        </w:rPr>
        <w:t>rethodno izvještajno razdoblje manji</w:t>
      </w:r>
      <w:r w:rsidR="0042368A">
        <w:rPr>
          <w:bCs/>
        </w:rPr>
        <w:t xml:space="preserve"> su za </w:t>
      </w:r>
      <w:r>
        <w:rPr>
          <w:bCs/>
        </w:rPr>
        <w:t>38,5%</w:t>
      </w:r>
      <w:r w:rsidR="0042368A">
        <w:rPr>
          <w:bCs/>
        </w:rPr>
        <w:t xml:space="preserve"> zbog </w:t>
      </w:r>
      <w:r>
        <w:rPr>
          <w:bCs/>
        </w:rPr>
        <w:t xml:space="preserve">manjeg </w:t>
      </w:r>
      <w:r w:rsidR="0042368A">
        <w:rPr>
          <w:bCs/>
        </w:rPr>
        <w:t>povrata doznačenih sredstava udrugama te doznačenih sredstava za rad kontrolora na programu „Zaželi“ Lokalne akcijske grupe Sjeverna Bilogora.</w:t>
      </w:r>
    </w:p>
    <w:p w:rsidR="0042368A" w:rsidRDefault="0042368A" w:rsidP="0042368A"/>
    <w:p w:rsidR="0042368A" w:rsidRPr="00A61070" w:rsidRDefault="001927DB" w:rsidP="0042368A">
      <w:pPr>
        <w:rPr>
          <w:bCs/>
        </w:rPr>
      </w:pPr>
      <w:r>
        <w:rPr>
          <w:b/>
          <w:bCs/>
        </w:rPr>
        <w:t>71</w:t>
      </w:r>
      <w:r w:rsidR="0042368A">
        <w:rPr>
          <w:b/>
          <w:bCs/>
        </w:rPr>
        <w:t xml:space="preserve"> - Prihodi od prodaje </w:t>
      </w:r>
      <w:proofErr w:type="spellStart"/>
      <w:r w:rsidR="0042368A">
        <w:rPr>
          <w:b/>
          <w:bCs/>
        </w:rPr>
        <w:t>neproizvedene</w:t>
      </w:r>
      <w:proofErr w:type="spellEnd"/>
      <w:r w:rsidR="0042368A">
        <w:rPr>
          <w:b/>
          <w:bCs/>
        </w:rPr>
        <w:t xml:space="preserve"> dugotrajne imovine- </w:t>
      </w:r>
      <w:r w:rsidR="0042368A" w:rsidRPr="00A61070">
        <w:rPr>
          <w:bCs/>
        </w:rPr>
        <w:t>Prihodi po ovoj osnovi</w:t>
      </w:r>
      <w:r w:rsidR="0042368A">
        <w:rPr>
          <w:b/>
          <w:bCs/>
        </w:rPr>
        <w:t xml:space="preserve"> </w:t>
      </w:r>
      <w:r w:rsidR="0042368A" w:rsidRPr="00A61070">
        <w:rPr>
          <w:bCs/>
        </w:rPr>
        <w:t>ostvareni</w:t>
      </w:r>
      <w:r w:rsidR="0042368A">
        <w:rPr>
          <w:bCs/>
        </w:rPr>
        <w:t xml:space="preserve"> su u iznosu od </w:t>
      </w:r>
      <w:r>
        <w:rPr>
          <w:bCs/>
        </w:rPr>
        <w:t>203.655,08</w:t>
      </w:r>
      <w:r w:rsidR="0042368A">
        <w:rPr>
          <w:bCs/>
        </w:rPr>
        <w:t xml:space="preserve"> kn, a odnose se na </w:t>
      </w:r>
      <w:r w:rsidR="0042368A" w:rsidRPr="00A61070">
        <w:t>pravo</w:t>
      </w:r>
      <w:r w:rsidR="0042368A" w:rsidRPr="000A379E">
        <w:t xml:space="preserve"> priključenja na elektroenergetsk</w:t>
      </w:r>
      <w:r w:rsidR="007352E8">
        <w:t>u mrežu u poduzetničkoj zoni</w:t>
      </w:r>
      <w:r>
        <w:t xml:space="preserve">, te na prodaju </w:t>
      </w:r>
      <w:proofErr w:type="spellStart"/>
      <w:r>
        <w:t>ošasne</w:t>
      </w:r>
      <w:proofErr w:type="spellEnd"/>
      <w:r>
        <w:t xml:space="preserve"> imovine u vlasništvu Općine Veliko Trojstvo</w:t>
      </w:r>
      <w:r w:rsidR="007352E8">
        <w:t>.</w:t>
      </w:r>
      <w:r>
        <w:t xml:space="preserve"> Upravo zbog prodaje </w:t>
      </w:r>
      <w:proofErr w:type="spellStart"/>
      <w:r>
        <w:t>ošasne</w:t>
      </w:r>
      <w:proofErr w:type="spellEnd"/>
      <w:r>
        <w:t xml:space="preserve"> imovine, ova skupina prihoda je drastično veća u odnosu na prethodnu godinu.</w:t>
      </w:r>
    </w:p>
    <w:p w:rsidR="0042368A" w:rsidRPr="00E7049C" w:rsidRDefault="0042368A" w:rsidP="0042368A"/>
    <w:p w:rsidR="0042368A" w:rsidRPr="007352E8" w:rsidRDefault="001927DB" w:rsidP="0042368A">
      <w:r>
        <w:rPr>
          <w:b/>
          <w:bCs/>
        </w:rPr>
        <w:t>72</w:t>
      </w:r>
      <w:r w:rsidR="0042368A" w:rsidRPr="00E7049C">
        <w:rPr>
          <w:b/>
          <w:bCs/>
        </w:rPr>
        <w:t xml:space="preserve"> </w:t>
      </w:r>
      <w:r w:rsidR="0042368A">
        <w:rPr>
          <w:b/>
          <w:bCs/>
        </w:rPr>
        <w:t>- Prihodi od prodaje proizvedene dugotrajne imovine</w:t>
      </w:r>
      <w:r w:rsidR="0042368A" w:rsidRPr="00E7049C">
        <w:t xml:space="preserve"> –</w:t>
      </w:r>
      <w:r w:rsidR="0042368A">
        <w:t xml:space="preserve"> </w:t>
      </w:r>
      <w:r w:rsidR="0042368A" w:rsidRPr="00E7049C">
        <w:t xml:space="preserve"> </w:t>
      </w:r>
      <w:r w:rsidR="0042368A" w:rsidRPr="00A61070">
        <w:rPr>
          <w:bCs/>
        </w:rPr>
        <w:t>Prihodi po ovoj osnovi</w:t>
      </w:r>
      <w:r w:rsidR="0042368A">
        <w:rPr>
          <w:b/>
          <w:bCs/>
        </w:rPr>
        <w:t xml:space="preserve"> </w:t>
      </w:r>
      <w:r w:rsidR="0042368A" w:rsidRPr="00A61070">
        <w:rPr>
          <w:bCs/>
        </w:rPr>
        <w:t>ostvareni</w:t>
      </w:r>
      <w:r w:rsidR="0042368A">
        <w:rPr>
          <w:bCs/>
        </w:rPr>
        <w:t xml:space="preserve"> su u iznosu od </w:t>
      </w:r>
      <w:r>
        <w:rPr>
          <w:bCs/>
        </w:rPr>
        <w:t>157.542,04</w:t>
      </w:r>
      <w:r w:rsidR="007352E8">
        <w:rPr>
          <w:bCs/>
        </w:rPr>
        <w:t xml:space="preserve"> </w:t>
      </w:r>
      <w:r w:rsidR="0042368A">
        <w:rPr>
          <w:bCs/>
        </w:rPr>
        <w:t xml:space="preserve">kn, a </w:t>
      </w:r>
      <w:r w:rsidR="0042368A">
        <w:t>odnose se na</w:t>
      </w:r>
      <w:r w:rsidR="0042368A" w:rsidRPr="00E7049C">
        <w:t xml:space="preserve"> prihod od prodaje</w:t>
      </w:r>
      <w:r w:rsidR="0042368A">
        <w:rPr>
          <w:b/>
          <w:bCs/>
        </w:rPr>
        <w:t xml:space="preserve"> </w:t>
      </w:r>
      <w:r w:rsidR="0042368A">
        <w:t>stanova</w:t>
      </w:r>
      <w:r>
        <w:t xml:space="preserve"> te prodaje </w:t>
      </w:r>
      <w:proofErr w:type="spellStart"/>
      <w:r>
        <w:t>ošasne</w:t>
      </w:r>
      <w:proofErr w:type="spellEnd"/>
      <w:r>
        <w:t xml:space="preserve"> imovine</w:t>
      </w:r>
      <w:r w:rsidR="0042368A">
        <w:t>.</w:t>
      </w:r>
      <w:r w:rsidR="007352E8">
        <w:t xml:space="preserve"> </w:t>
      </w:r>
      <w:r>
        <w:t xml:space="preserve">Upravo zbog prodaje </w:t>
      </w:r>
      <w:proofErr w:type="spellStart"/>
      <w:r>
        <w:t>ošasne</w:t>
      </w:r>
      <w:proofErr w:type="spellEnd"/>
      <w:r>
        <w:t xml:space="preserve"> imovine, ova skupina prihoda je drastično veća u odnosu na prethodnu godinu.</w:t>
      </w:r>
    </w:p>
    <w:p w:rsidR="00FB655E" w:rsidRDefault="00FB655E" w:rsidP="00FB655E"/>
    <w:p w:rsidR="00CD7BF8" w:rsidRDefault="00CD7BF8" w:rsidP="00FB655E"/>
    <w:p w:rsidR="00CD7BF8" w:rsidRDefault="00CD7BF8" w:rsidP="00FB655E"/>
    <w:p w:rsidR="00CD7BF8" w:rsidRDefault="00CD7BF8" w:rsidP="00FB655E"/>
    <w:p w:rsidR="00CD7BF8" w:rsidRDefault="00CD7BF8" w:rsidP="00FB655E"/>
    <w:p w:rsidR="00FB655E" w:rsidRPr="00A61070" w:rsidRDefault="00FB655E" w:rsidP="00FB655E">
      <w:pPr>
        <w:pStyle w:val="Naslov7"/>
        <w:rPr>
          <w:rFonts w:ascii="Times New Roman" w:hAnsi="Times New Roman"/>
          <w:bCs/>
          <w:sz w:val="24"/>
          <w:u w:val="single"/>
        </w:rPr>
      </w:pPr>
      <w:r w:rsidRPr="00A61070">
        <w:rPr>
          <w:rFonts w:ascii="Times New Roman" w:hAnsi="Times New Roman"/>
          <w:bCs/>
          <w:sz w:val="24"/>
          <w:u w:val="single"/>
        </w:rPr>
        <w:lastRenderedPageBreak/>
        <w:t>RASHODI PRORAČUNA</w:t>
      </w:r>
    </w:p>
    <w:p w:rsidR="00FB655E" w:rsidRPr="006645D6" w:rsidRDefault="00FB655E" w:rsidP="00FB655E"/>
    <w:p w:rsidR="00FB655E" w:rsidRDefault="00FB655E" w:rsidP="00FB655E">
      <w:r>
        <w:t>Ukupni</w:t>
      </w:r>
      <w:r w:rsidRPr="006645D6">
        <w:t xml:space="preserve"> </w:t>
      </w:r>
      <w:r>
        <w:t>r</w:t>
      </w:r>
      <w:r w:rsidRPr="006645D6">
        <w:t xml:space="preserve">ashodi i izdaci </w:t>
      </w:r>
      <w:r w:rsidRPr="001A0EB0">
        <w:t>za 202</w:t>
      </w:r>
      <w:r w:rsidR="00465A1D">
        <w:t>2</w:t>
      </w:r>
      <w:r w:rsidRPr="001A0EB0">
        <w:t>. godin</w:t>
      </w:r>
      <w:r w:rsidR="00433FDD">
        <w:t>u</w:t>
      </w:r>
      <w:r w:rsidRPr="001A0EB0">
        <w:t xml:space="preserve"> iznose </w:t>
      </w:r>
      <w:r w:rsidR="002A71A8">
        <w:t xml:space="preserve">10.838.743,83 </w:t>
      </w:r>
      <w:r>
        <w:t>kn (</w:t>
      </w:r>
      <w:r w:rsidR="00465A1D">
        <w:t>Y345</w:t>
      </w:r>
      <w:r>
        <w:t xml:space="preserve">) </w:t>
      </w:r>
      <w:r w:rsidRPr="001A0EB0">
        <w:t>i to kako slijedi: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5368"/>
        <w:gridCol w:w="2609"/>
      </w:tblGrid>
      <w:tr w:rsidR="00242163" w:rsidRPr="00242163" w:rsidTr="00BF26CD">
        <w:trPr>
          <w:trHeight w:val="253"/>
        </w:trPr>
        <w:tc>
          <w:tcPr>
            <w:tcW w:w="1311" w:type="dxa"/>
            <w:shd w:val="clear" w:color="auto" w:fill="C2D69B"/>
            <w:vAlign w:val="center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242163">
              <w:rPr>
                <w:b/>
                <w:sz w:val="22"/>
              </w:rPr>
              <w:t xml:space="preserve">Račun iz </w:t>
            </w:r>
            <w:proofErr w:type="spellStart"/>
            <w:r w:rsidRPr="00242163">
              <w:rPr>
                <w:b/>
                <w:sz w:val="22"/>
              </w:rPr>
              <w:t>rač</w:t>
            </w:r>
            <w:proofErr w:type="spellEnd"/>
            <w:r w:rsidRPr="00242163">
              <w:rPr>
                <w:b/>
                <w:sz w:val="22"/>
              </w:rPr>
              <w:t>. plana</w:t>
            </w:r>
          </w:p>
        </w:tc>
        <w:tc>
          <w:tcPr>
            <w:tcW w:w="5368" w:type="dxa"/>
            <w:shd w:val="clear" w:color="auto" w:fill="C2D69B"/>
            <w:vAlign w:val="center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242163">
              <w:rPr>
                <w:b/>
                <w:sz w:val="22"/>
              </w:rPr>
              <w:t>Naziv stavke</w:t>
            </w:r>
          </w:p>
        </w:tc>
        <w:tc>
          <w:tcPr>
            <w:tcW w:w="2609" w:type="dxa"/>
            <w:shd w:val="clear" w:color="auto" w:fill="C2D69B"/>
            <w:vAlign w:val="center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242163">
              <w:rPr>
                <w:b/>
                <w:sz w:val="22"/>
              </w:rPr>
              <w:t>Ostvareno u izvještajnom razdoblju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31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Rashodi za zaposlene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1.083.601,98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32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Materijalni rashodi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5.168.329,65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34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Financijski rashodi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15.895,55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35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Subvencije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237.315,44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36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Pomoći dane u inozemstvo i unutar općeg proračuna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1.385.968,06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37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Naknade građanima i kućanstvima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720.677,06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38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Ostali rashodi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865.343,25</w:t>
            </w:r>
          </w:p>
        </w:tc>
      </w:tr>
      <w:tr w:rsidR="002A71A8" w:rsidRPr="00242163" w:rsidTr="00BF26CD">
        <w:tc>
          <w:tcPr>
            <w:tcW w:w="1311" w:type="dxa"/>
            <w:shd w:val="clear" w:color="auto" w:fill="auto"/>
          </w:tcPr>
          <w:p w:rsidR="002A71A8" w:rsidRPr="00242163" w:rsidRDefault="002A71A8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41</w:t>
            </w:r>
          </w:p>
        </w:tc>
        <w:tc>
          <w:tcPr>
            <w:tcW w:w="5368" w:type="dxa"/>
            <w:shd w:val="clear" w:color="auto" w:fill="auto"/>
          </w:tcPr>
          <w:p w:rsidR="002A71A8" w:rsidRPr="00242163" w:rsidRDefault="002A71A8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A71A8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15.000,00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42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Rashodi za nabavu proizvedene dugotrajne imovine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1.174.337,84</w:t>
            </w:r>
          </w:p>
        </w:tc>
      </w:tr>
      <w:tr w:rsidR="00242163" w:rsidRPr="00242163" w:rsidTr="00BF26CD">
        <w:tc>
          <w:tcPr>
            <w:tcW w:w="1311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242163">
              <w:t>45</w:t>
            </w:r>
          </w:p>
        </w:tc>
        <w:tc>
          <w:tcPr>
            <w:tcW w:w="5368" w:type="dxa"/>
            <w:shd w:val="clear" w:color="auto" w:fill="auto"/>
          </w:tcPr>
          <w:p w:rsidR="00242163" w:rsidRPr="00242163" w:rsidRDefault="00242163" w:rsidP="00242163">
            <w:pPr>
              <w:suppressAutoHyphens/>
              <w:overflowPunct w:val="0"/>
              <w:autoSpaceDE w:val="0"/>
              <w:textAlignment w:val="baseline"/>
              <w:rPr>
                <w:sz w:val="22"/>
              </w:rPr>
            </w:pPr>
            <w:r w:rsidRPr="00242163">
              <w:rPr>
                <w:sz w:val="22"/>
              </w:rPr>
              <w:t>Rashodi za dodatna ulaganja na nefinancijskoj imovini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242163" w:rsidRPr="00242163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172.275,00</w:t>
            </w:r>
          </w:p>
        </w:tc>
      </w:tr>
      <w:tr w:rsidR="008F478F" w:rsidRPr="00242163" w:rsidTr="00BF26CD">
        <w:tc>
          <w:tcPr>
            <w:tcW w:w="6679" w:type="dxa"/>
            <w:gridSpan w:val="2"/>
            <w:shd w:val="clear" w:color="auto" w:fill="auto"/>
          </w:tcPr>
          <w:p w:rsidR="008F478F" w:rsidRPr="00242163" w:rsidRDefault="008F478F" w:rsidP="008F478F">
            <w:pPr>
              <w:suppressAutoHyphens/>
              <w:overflowPunct w:val="0"/>
              <w:autoSpaceDE w:val="0"/>
              <w:jc w:val="right"/>
              <w:textAlignment w:val="baseline"/>
              <w:rPr>
                <w:sz w:val="22"/>
              </w:rPr>
            </w:pPr>
            <w:r w:rsidRPr="00854AD7">
              <w:rPr>
                <w:b/>
                <w:sz w:val="22"/>
              </w:rPr>
              <w:t>UKUPNO: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F478F" w:rsidRPr="008F478F" w:rsidRDefault="002A71A8" w:rsidP="00242163">
            <w:pPr>
              <w:suppressAutoHyphens/>
              <w:overflowPunct w:val="0"/>
              <w:autoSpaceDE w:val="0"/>
              <w:jc w:val="right"/>
              <w:textAlignment w:val="baseline"/>
              <w:rPr>
                <w:b/>
              </w:rPr>
            </w:pPr>
            <w:r w:rsidRPr="002A71A8">
              <w:rPr>
                <w:b/>
              </w:rPr>
              <w:t>10.838.743,83</w:t>
            </w:r>
          </w:p>
        </w:tc>
      </w:tr>
    </w:tbl>
    <w:p w:rsidR="00242163" w:rsidRDefault="00242163" w:rsidP="00FB655E"/>
    <w:p w:rsidR="00FA1AA5" w:rsidRDefault="002A71A8" w:rsidP="00FA1AA5">
      <w:r>
        <w:rPr>
          <w:b/>
          <w:bCs/>
        </w:rPr>
        <w:t>31</w:t>
      </w:r>
      <w:r w:rsidR="00FA1AA5">
        <w:rPr>
          <w:b/>
          <w:bCs/>
        </w:rPr>
        <w:t xml:space="preserve"> - </w:t>
      </w:r>
      <w:r w:rsidR="00FA1AA5" w:rsidRPr="00980A73">
        <w:rPr>
          <w:b/>
          <w:bCs/>
        </w:rPr>
        <w:t xml:space="preserve">Rashodi za zaposlene </w:t>
      </w:r>
      <w:r w:rsidR="00FA1AA5">
        <w:t xml:space="preserve">– Rashodi po ovoj osnovi ostvareni su u iznosu </w:t>
      </w:r>
      <w:r w:rsidR="00B86D8D">
        <w:t>1.083.601,98</w:t>
      </w:r>
      <w:r w:rsidR="00FA1AA5">
        <w:t xml:space="preserve"> kn, što je u odnosu na prethodno izvještajno razdoblje za </w:t>
      </w:r>
      <w:r w:rsidR="00B86D8D">
        <w:t>22,9</w:t>
      </w:r>
      <w:r w:rsidR="00FA1AA5">
        <w:t xml:space="preserve"> % manje. S obzirom da je tijekom godine </w:t>
      </w:r>
      <w:r w:rsidR="00B86D8D">
        <w:t>jedna</w:t>
      </w:r>
      <w:r w:rsidR="00FA1AA5">
        <w:t xml:space="preserve"> zaposlenica </w:t>
      </w:r>
      <w:r w:rsidR="00B86D8D">
        <w:t>bila veći dio na bolovanju, te jedna zaposlenica otišla u mirovinu</w:t>
      </w:r>
      <w:r w:rsidR="00FA1AA5">
        <w:t>.</w:t>
      </w:r>
    </w:p>
    <w:p w:rsidR="00FA1AA5" w:rsidRDefault="00FA1AA5" w:rsidP="00FA1AA5">
      <w:pPr>
        <w:numPr>
          <w:ilvl w:val="0"/>
          <w:numId w:val="8"/>
        </w:numPr>
      </w:pPr>
      <w:r>
        <w:t>Bruto plaće</w:t>
      </w:r>
      <w:r w:rsidR="00E722B9">
        <w:t xml:space="preserve"> (</w:t>
      </w:r>
      <w:r w:rsidR="00B86D8D">
        <w:t>311</w:t>
      </w:r>
      <w:r w:rsidR="00E722B9">
        <w:t>)</w:t>
      </w:r>
      <w:r w:rsidR="00074CA5">
        <w:t xml:space="preserve"> u iznosu od </w:t>
      </w:r>
      <w:r w:rsidR="00B86D8D">
        <w:t>895.073,29</w:t>
      </w:r>
      <w:r w:rsidR="00074CA5">
        <w:t xml:space="preserve"> kn</w:t>
      </w:r>
      <w:r w:rsidR="00E722B9">
        <w:t>,</w:t>
      </w:r>
      <w:r>
        <w:t xml:space="preserve"> odnose se na plaće službenika i namještenika Jedinstvenog upravnog odjela, na plaću načelnika koji</w:t>
      </w:r>
      <w:r w:rsidRPr="00A10864">
        <w:t xml:space="preserve"> </w:t>
      </w:r>
      <w:r>
        <w:t xml:space="preserve">svoju dužnost obavlja profesionalno, </w:t>
      </w:r>
      <w:r w:rsidR="00B86D8D">
        <w:t xml:space="preserve">te </w:t>
      </w:r>
      <w:r>
        <w:t>na plaću zaposlenika javnih radova</w:t>
      </w:r>
      <w:r w:rsidR="00B86D8D">
        <w:t>.</w:t>
      </w:r>
    </w:p>
    <w:p w:rsidR="00FA1AA5" w:rsidRDefault="00FA1AA5" w:rsidP="00FA1AA5">
      <w:pPr>
        <w:numPr>
          <w:ilvl w:val="0"/>
          <w:numId w:val="8"/>
        </w:numPr>
      </w:pPr>
      <w:r>
        <w:t>Ostali rashodi za zaposlene (</w:t>
      </w:r>
      <w:r w:rsidR="00B86D8D">
        <w:t>312</w:t>
      </w:r>
      <w:r>
        <w:t xml:space="preserve">),  iznose </w:t>
      </w:r>
      <w:r w:rsidR="00B86D8D">
        <w:t>40.841,96</w:t>
      </w:r>
      <w:r>
        <w:t xml:space="preserve"> kn </w:t>
      </w:r>
      <w:r w:rsidRPr="006645D6">
        <w:t>(regres</w:t>
      </w:r>
      <w:r w:rsidR="00B86D8D">
        <w:t xml:space="preserve">, božićnica </w:t>
      </w:r>
      <w:r w:rsidR="00074CA5">
        <w:t>i naknada za bolest</w:t>
      </w:r>
      <w:r>
        <w:t>).</w:t>
      </w:r>
    </w:p>
    <w:p w:rsidR="00FA1AA5" w:rsidRPr="00A10864" w:rsidRDefault="00FA1AA5" w:rsidP="00FA1AA5">
      <w:pPr>
        <w:numPr>
          <w:ilvl w:val="0"/>
          <w:numId w:val="8"/>
        </w:numPr>
      </w:pPr>
      <w:r>
        <w:t>Doprinosi na plaće svih zaposlenika (</w:t>
      </w:r>
      <w:r w:rsidR="00B86D8D">
        <w:t>3132</w:t>
      </w:r>
      <w:r>
        <w:t xml:space="preserve">),  iznose </w:t>
      </w:r>
      <w:r w:rsidR="00B86D8D">
        <w:t>147.686,73</w:t>
      </w:r>
      <w:r>
        <w:t xml:space="preserve"> kn</w:t>
      </w:r>
      <w:r w:rsidR="00074CA5">
        <w:t>.</w:t>
      </w:r>
    </w:p>
    <w:p w:rsidR="00FA1AA5" w:rsidRPr="00F06262" w:rsidRDefault="00FA1AA5" w:rsidP="00FA1AA5"/>
    <w:p w:rsidR="00FA1AA5" w:rsidRDefault="00B86D8D" w:rsidP="00FA1AA5">
      <w:r>
        <w:rPr>
          <w:b/>
          <w:bCs/>
        </w:rPr>
        <w:t>32</w:t>
      </w:r>
      <w:r w:rsidR="00FA1AA5" w:rsidRPr="0042443C">
        <w:rPr>
          <w:b/>
          <w:bCs/>
        </w:rPr>
        <w:t xml:space="preserve"> </w:t>
      </w:r>
      <w:r w:rsidR="00FA1AA5">
        <w:rPr>
          <w:b/>
          <w:bCs/>
        </w:rPr>
        <w:t>- Materijalni rashodi -</w:t>
      </w:r>
      <w:r w:rsidR="00FA1AA5" w:rsidRPr="00D83262">
        <w:t xml:space="preserve"> </w:t>
      </w:r>
      <w:r w:rsidR="00FA1AA5">
        <w:t xml:space="preserve">Rashodi po ovoj osnovi ostvareni su u iznosu </w:t>
      </w:r>
      <w:r>
        <w:t>5.168.329,65</w:t>
      </w:r>
      <w:r w:rsidR="00FA1AA5">
        <w:t xml:space="preserve"> kn. Navedena skupina rashoda </w:t>
      </w:r>
      <w:r>
        <w:t>nije se značajno promijenila u odnosu na prethodno razdoblje.</w:t>
      </w:r>
      <w:r w:rsidR="00FA1AA5">
        <w:t xml:space="preserve"> </w:t>
      </w:r>
      <w:r w:rsidR="00FA1AA5" w:rsidRPr="00CD3F2A">
        <w:t>Rash</w:t>
      </w:r>
      <w:r w:rsidR="00FA1AA5">
        <w:t xml:space="preserve">odi ove skupine raspoređuju se kako slijedi: </w:t>
      </w:r>
    </w:p>
    <w:p w:rsidR="00FA1AA5" w:rsidRDefault="00FA1AA5" w:rsidP="00FA1AA5">
      <w:pPr>
        <w:numPr>
          <w:ilvl w:val="0"/>
          <w:numId w:val="9"/>
        </w:numPr>
      </w:pPr>
      <w:r>
        <w:t>Naknade troškova zaposlenima (</w:t>
      </w:r>
      <w:r w:rsidR="00CD3F2A">
        <w:t>321</w:t>
      </w:r>
      <w:r>
        <w:t xml:space="preserve">),  iznose </w:t>
      </w:r>
      <w:r w:rsidR="00CD3F2A">
        <w:t xml:space="preserve">17.462,59 </w:t>
      </w:r>
      <w:r>
        <w:t>kn</w:t>
      </w:r>
      <w:r w:rsidR="00442908">
        <w:t>.</w:t>
      </w:r>
    </w:p>
    <w:p w:rsidR="00442908" w:rsidRDefault="00442908" w:rsidP="00442908">
      <w:pPr>
        <w:numPr>
          <w:ilvl w:val="1"/>
          <w:numId w:val="9"/>
        </w:numPr>
      </w:pPr>
      <w:r>
        <w:t xml:space="preserve">Troškovi službenih putovanja </w:t>
      </w:r>
      <w:r w:rsidRPr="009D2D9E">
        <w:t>iznose</w:t>
      </w:r>
      <w:r>
        <w:t xml:space="preserve"> ukupno 1</w:t>
      </w:r>
      <w:r w:rsidR="00CD3F2A">
        <w:t>.600,05</w:t>
      </w:r>
      <w:r>
        <w:t xml:space="preserve"> kn</w:t>
      </w:r>
    </w:p>
    <w:p w:rsidR="00FA1AA5" w:rsidRDefault="00FA1AA5" w:rsidP="00FA1AA5">
      <w:pPr>
        <w:numPr>
          <w:ilvl w:val="1"/>
          <w:numId w:val="9"/>
        </w:numPr>
      </w:pPr>
      <w:r w:rsidRPr="009D2D9E">
        <w:t xml:space="preserve">Troškovi zaposlenima za prijevoz iznose ukupno </w:t>
      </w:r>
      <w:r w:rsidR="00CD3F2A">
        <w:t>15.062,54</w:t>
      </w:r>
      <w:r w:rsidRPr="009D2D9E">
        <w:t xml:space="preserve"> kn</w:t>
      </w:r>
      <w:r w:rsidR="00442908">
        <w:t xml:space="preserve"> (u odnosu na prethodno razdoblje navedeni rashod je manji za </w:t>
      </w:r>
      <w:r w:rsidR="00CD3F2A">
        <w:t xml:space="preserve">57,10 </w:t>
      </w:r>
      <w:r w:rsidR="00442908">
        <w:t>% zbog završetka projekta „Zaželi“)</w:t>
      </w:r>
    </w:p>
    <w:p w:rsidR="00FA1AA5" w:rsidRDefault="00FA1AA5" w:rsidP="00FA1AA5">
      <w:pPr>
        <w:numPr>
          <w:ilvl w:val="1"/>
          <w:numId w:val="9"/>
        </w:numPr>
      </w:pPr>
      <w:r w:rsidRPr="009D2D9E">
        <w:t xml:space="preserve">Stručno usavršavanje zaposlenika iznosi </w:t>
      </w:r>
      <w:r w:rsidR="00CD3F2A">
        <w:t>800,00 kn.</w:t>
      </w:r>
    </w:p>
    <w:p w:rsidR="00FA1AA5" w:rsidRDefault="00FA1AA5" w:rsidP="00FA1AA5">
      <w:pPr>
        <w:numPr>
          <w:ilvl w:val="0"/>
          <w:numId w:val="9"/>
        </w:numPr>
      </w:pPr>
      <w:r w:rsidRPr="009D2D9E">
        <w:t>Rashodi za materijal i energiju</w:t>
      </w:r>
      <w:r>
        <w:t xml:space="preserve"> (</w:t>
      </w:r>
      <w:r w:rsidR="00CD3F2A">
        <w:t>322</w:t>
      </w:r>
      <w:r>
        <w:t xml:space="preserve">), </w:t>
      </w:r>
      <w:r w:rsidRPr="009D2D9E">
        <w:t xml:space="preserve"> </w:t>
      </w:r>
      <w:r>
        <w:t>iznose</w:t>
      </w:r>
      <w:r w:rsidRPr="009D2D9E">
        <w:t xml:space="preserve"> </w:t>
      </w:r>
      <w:r w:rsidR="00CD3F2A">
        <w:t>786.921,18</w:t>
      </w:r>
      <w:r w:rsidRPr="009D2D9E">
        <w:t xml:space="preserve"> kn</w:t>
      </w:r>
      <w:r w:rsidR="00442908">
        <w:t xml:space="preserve">, te su u odnosu na prethodnu godinu </w:t>
      </w:r>
      <w:r w:rsidR="00CD3F2A">
        <w:t>veći</w:t>
      </w:r>
      <w:r w:rsidR="00442908">
        <w:t xml:space="preserve"> za </w:t>
      </w:r>
      <w:r w:rsidR="00CD3F2A">
        <w:t>36,2</w:t>
      </w:r>
      <w:r w:rsidR="00442908">
        <w:t xml:space="preserve">%. Najveći porast odnosi se na troškove </w:t>
      </w:r>
      <w:r w:rsidR="008F6F3B">
        <w:t>energije zbog porasta cijene</w:t>
      </w:r>
      <w:r w:rsidR="00442908">
        <w:t>.</w:t>
      </w:r>
      <w:r w:rsidR="006E3EEE">
        <w:t xml:space="preserve"> Rashodi skupine ostvareni su kako slijedi:</w:t>
      </w:r>
    </w:p>
    <w:p w:rsidR="00FA1AA5" w:rsidRDefault="00FA1AA5" w:rsidP="00FA1AA5">
      <w:pPr>
        <w:numPr>
          <w:ilvl w:val="1"/>
          <w:numId w:val="9"/>
        </w:numPr>
      </w:pPr>
      <w:r>
        <w:t xml:space="preserve">Uredski materijal i ostali materijalni rashodi iznose ukupno </w:t>
      </w:r>
      <w:r w:rsidR="008A3D45">
        <w:t>52.162,17</w:t>
      </w:r>
      <w:r>
        <w:t xml:space="preserve"> kn</w:t>
      </w:r>
      <w:r w:rsidRPr="006645D6">
        <w:t xml:space="preserve"> </w:t>
      </w:r>
      <w:r>
        <w:t xml:space="preserve"> </w:t>
      </w:r>
    </w:p>
    <w:p w:rsidR="00FA1AA5" w:rsidRDefault="00FA1AA5" w:rsidP="006E3EEE">
      <w:pPr>
        <w:numPr>
          <w:ilvl w:val="1"/>
          <w:numId w:val="9"/>
        </w:numPr>
      </w:pPr>
      <w:r>
        <w:t>Rashodi za m</w:t>
      </w:r>
      <w:r w:rsidRPr="009D2D9E">
        <w:t xml:space="preserve">aterijal i sirovine </w:t>
      </w:r>
      <w:r>
        <w:t xml:space="preserve">iznose ukupno </w:t>
      </w:r>
      <w:r w:rsidR="008A3D45">
        <w:t>29.352,21</w:t>
      </w:r>
      <w:r w:rsidRPr="009D2D9E">
        <w:t xml:space="preserve"> kn</w:t>
      </w:r>
      <w:r w:rsidR="006E3EEE">
        <w:t xml:space="preserve"> </w:t>
      </w:r>
    </w:p>
    <w:p w:rsidR="00FA1AA5" w:rsidRDefault="00FA1AA5" w:rsidP="00FA1AA5">
      <w:pPr>
        <w:numPr>
          <w:ilvl w:val="1"/>
          <w:numId w:val="9"/>
        </w:numPr>
      </w:pPr>
      <w:r>
        <w:t xml:space="preserve">Rashodi za energiju iznose ukupno </w:t>
      </w:r>
      <w:r w:rsidR="008A3D45">
        <w:t>587.474,54</w:t>
      </w:r>
      <w:r>
        <w:t xml:space="preserve"> kn</w:t>
      </w:r>
      <w:r w:rsidR="008A3D45">
        <w:t xml:space="preserve"> (povećanje od 39,9% odnosi se na rast cijena energenata)</w:t>
      </w:r>
    </w:p>
    <w:p w:rsidR="00FA1AA5" w:rsidRDefault="00FA1AA5" w:rsidP="00FA1AA5">
      <w:pPr>
        <w:numPr>
          <w:ilvl w:val="1"/>
          <w:numId w:val="9"/>
        </w:numPr>
      </w:pPr>
      <w:r>
        <w:t xml:space="preserve">Rashodi za materijal i dijelove za tekuće i investicijsko održavanje iznose ukupno </w:t>
      </w:r>
      <w:r w:rsidR="008A3D45">
        <w:t>104.334,23</w:t>
      </w:r>
      <w:r>
        <w:t xml:space="preserve"> kn</w:t>
      </w:r>
      <w:r w:rsidR="008A3D45">
        <w:t xml:space="preserve"> (povećanje od 168,4% odnosi se na rashode za tekuće održavanje traktora i JCB stroja)</w:t>
      </w:r>
    </w:p>
    <w:p w:rsidR="00FA1AA5" w:rsidRDefault="00FA1AA5" w:rsidP="00FA1AA5">
      <w:pPr>
        <w:numPr>
          <w:ilvl w:val="1"/>
          <w:numId w:val="9"/>
        </w:numPr>
      </w:pPr>
      <w:r>
        <w:t xml:space="preserve">Rashodi za sitni inventar i auto gume iznose ukupno </w:t>
      </w:r>
      <w:r w:rsidR="008A3D45">
        <w:t xml:space="preserve">11.680,53 </w:t>
      </w:r>
      <w:r>
        <w:t>kn</w:t>
      </w:r>
    </w:p>
    <w:p w:rsidR="00FA1AA5" w:rsidRDefault="00FA1AA5" w:rsidP="00FA1AA5">
      <w:pPr>
        <w:numPr>
          <w:ilvl w:val="1"/>
          <w:numId w:val="9"/>
        </w:numPr>
      </w:pPr>
      <w:r>
        <w:lastRenderedPageBreak/>
        <w:t xml:space="preserve">Rashodi za radnu i zaštitnu odjeću i obuću iznose ukupno </w:t>
      </w:r>
      <w:r w:rsidR="006546BD">
        <w:t>1.917,50</w:t>
      </w:r>
      <w:r>
        <w:t xml:space="preserve"> kn</w:t>
      </w:r>
      <w:r w:rsidR="006546BD">
        <w:t>.</w:t>
      </w:r>
    </w:p>
    <w:p w:rsidR="00FA1AA5" w:rsidRDefault="00FA1AA5" w:rsidP="00FA1AA5">
      <w:pPr>
        <w:numPr>
          <w:ilvl w:val="0"/>
          <w:numId w:val="10"/>
        </w:numPr>
      </w:pPr>
      <w:r w:rsidRPr="009F1AD4">
        <w:t>Rashodi za usluge</w:t>
      </w:r>
      <w:r>
        <w:t xml:space="preserve"> (</w:t>
      </w:r>
      <w:r w:rsidR="006546BD">
        <w:t>323</w:t>
      </w:r>
      <w:r>
        <w:t xml:space="preserve">), </w:t>
      </w:r>
      <w:r w:rsidRPr="009F1AD4">
        <w:t xml:space="preserve"> </w:t>
      </w:r>
      <w:r>
        <w:t>iznose</w:t>
      </w:r>
      <w:r w:rsidRPr="009F1AD4">
        <w:t xml:space="preserve"> </w:t>
      </w:r>
      <w:r w:rsidR="006546BD">
        <w:t>4.152.081,50</w:t>
      </w:r>
      <w:r>
        <w:t xml:space="preserve"> kn</w:t>
      </w:r>
      <w:r w:rsidR="006E3EEE">
        <w:t xml:space="preserve">. U odnosu na prethodnu godinu smanjeni su za </w:t>
      </w:r>
      <w:r w:rsidR="006546BD">
        <w:t>10,2</w:t>
      </w:r>
      <w:r w:rsidR="006E3EEE">
        <w:t>%</w:t>
      </w:r>
      <w:r w:rsidR="005D56D3">
        <w:t>. Navedena skupina rashoda manja</w:t>
      </w:r>
      <w:r w:rsidR="006546BD">
        <w:t xml:space="preserve"> je</w:t>
      </w:r>
      <w:r w:rsidR="005D56D3">
        <w:t xml:space="preserve"> u odnosu na prethodno razdoblje </w:t>
      </w:r>
      <w:r w:rsidR="006546BD">
        <w:t>zbog manjeg broja projekata u realizaciji</w:t>
      </w:r>
      <w:r w:rsidR="005D56D3">
        <w:t>.</w:t>
      </w:r>
    </w:p>
    <w:p w:rsidR="005D56D3" w:rsidRDefault="005D56D3" w:rsidP="005D56D3">
      <w:pPr>
        <w:ind w:left="720"/>
      </w:pPr>
      <w:r>
        <w:t>Rashodi navedene skupine ostvareni su kako slijedi:</w:t>
      </w:r>
    </w:p>
    <w:p w:rsidR="00FA1AA5" w:rsidRDefault="00FA1AA5" w:rsidP="00FA1AA5">
      <w:pPr>
        <w:numPr>
          <w:ilvl w:val="1"/>
          <w:numId w:val="10"/>
        </w:numPr>
      </w:pPr>
      <w:r>
        <w:t xml:space="preserve">Usluge telefona i pošte iznose ukupno </w:t>
      </w:r>
      <w:r w:rsidR="006546BD">
        <w:t>77.835,98</w:t>
      </w:r>
      <w:r>
        <w:t xml:space="preserve"> kn</w:t>
      </w:r>
      <w:r w:rsidR="006546BD">
        <w:t xml:space="preserve"> (uvedena dodatna vatrogasna linija, </w:t>
      </w:r>
      <w:proofErr w:type="spellStart"/>
      <w:r w:rsidR="006546BD">
        <w:t>internet</w:t>
      </w:r>
      <w:proofErr w:type="spellEnd"/>
      <w:r w:rsidR="006546BD">
        <w:t xml:space="preserve"> za tehničku zaštitu te telefonske usluge u Općinskom stanu kod ljekarne (izbjeglice iz Ukrajine)</w:t>
      </w:r>
      <w:r>
        <w:t>.</w:t>
      </w:r>
    </w:p>
    <w:p w:rsidR="00FA1AA5" w:rsidRDefault="00FA1AA5" w:rsidP="005D56D3">
      <w:pPr>
        <w:numPr>
          <w:ilvl w:val="1"/>
          <w:numId w:val="10"/>
        </w:numPr>
      </w:pPr>
      <w:r w:rsidRPr="0031675E">
        <w:t xml:space="preserve">Usluge tekućeg i investicijskog održavanja iznose </w:t>
      </w:r>
      <w:r w:rsidR="006546BD">
        <w:t>2.673.580,84</w:t>
      </w:r>
      <w:r w:rsidRPr="0031675E">
        <w:t xml:space="preserve"> kn, te su najznačajniji rashod ove podskupine. Za investicijsko održavanje građevinskih objekata utrošeno je </w:t>
      </w:r>
      <w:r w:rsidR="006546BD">
        <w:t>2.444.488,07</w:t>
      </w:r>
      <w:r w:rsidR="005D56D3">
        <w:t xml:space="preserve"> </w:t>
      </w:r>
      <w:r w:rsidRPr="0031675E">
        <w:t>kn (ceste, javna rasvjeta, poljski putovi, društveni domovi,</w:t>
      </w:r>
      <w:r w:rsidR="005D56D3">
        <w:t xml:space="preserve">Vidikovac </w:t>
      </w:r>
      <w:r w:rsidR="006546BD">
        <w:t>– adaptacija i uređenje okoliša)</w:t>
      </w:r>
      <w:r w:rsidRPr="0031675E">
        <w:t xml:space="preserve"> za investicijsko održavanje postrojenja i opreme utrošeno je </w:t>
      </w:r>
      <w:r w:rsidR="006546BD">
        <w:t>12.974,08</w:t>
      </w:r>
      <w:r w:rsidR="005D56D3">
        <w:t xml:space="preserve"> </w:t>
      </w:r>
      <w:r w:rsidRPr="0031675E">
        <w:t>kn</w:t>
      </w:r>
      <w:r w:rsidR="005D56D3">
        <w:t xml:space="preserve"> (servis fotokopirnih uređaja te motornih kosilica za održavanje javnih površina)</w:t>
      </w:r>
      <w:r w:rsidRPr="0031675E">
        <w:t xml:space="preserve">, dok je za održavanje prijevoznih sredstava utrošeno </w:t>
      </w:r>
      <w:r w:rsidR="006546BD">
        <w:t>201.233,57</w:t>
      </w:r>
      <w:r w:rsidR="005D56D3">
        <w:t xml:space="preserve"> </w:t>
      </w:r>
      <w:r w:rsidRPr="0031675E">
        <w:t>kn</w:t>
      </w:r>
      <w:r w:rsidR="005D56D3">
        <w:t xml:space="preserve"> (u najvećem iznosu odnosi se na popravak komunalnog stroja</w:t>
      </w:r>
      <w:r w:rsidR="006546BD">
        <w:t xml:space="preserve"> te traktora</w:t>
      </w:r>
      <w:r w:rsidR="005D56D3">
        <w:t>)</w:t>
      </w:r>
      <w:r w:rsidRPr="0031675E">
        <w:t>.</w:t>
      </w:r>
    </w:p>
    <w:p w:rsidR="00FA1AA5" w:rsidRDefault="00FA1AA5" w:rsidP="00FA1AA5">
      <w:pPr>
        <w:numPr>
          <w:ilvl w:val="1"/>
          <w:numId w:val="10"/>
        </w:numPr>
      </w:pPr>
      <w:r>
        <w:t>U</w:t>
      </w:r>
      <w:r w:rsidRPr="0031675E">
        <w:t xml:space="preserve">sluge promidžbe i informiranja, medijskog praćenja i objava natječaja </w:t>
      </w:r>
      <w:r>
        <w:t>iznose</w:t>
      </w:r>
      <w:r w:rsidRPr="0031675E">
        <w:t xml:space="preserve"> </w:t>
      </w:r>
      <w:r w:rsidR="006546BD">
        <w:t>136.831,33</w:t>
      </w:r>
      <w:r w:rsidRPr="0031675E">
        <w:t xml:space="preserve"> kn</w:t>
      </w:r>
      <w:r w:rsidR="005D56D3">
        <w:t xml:space="preserve"> (u odnosu na prethodno razdoblje ostvareno je povećanje od </w:t>
      </w:r>
      <w:r w:rsidR="006546BD">
        <w:t>24,6</w:t>
      </w:r>
      <w:r w:rsidR="005D56D3">
        <w:t xml:space="preserve">% zbog </w:t>
      </w:r>
      <w:r w:rsidR="006546BD">
        <w:t>potpisanih dodatnih Ugovora</w:t>
      </w:r>
      <w:r w:rsidR="005D56D3">
        <w:t>)</w:t>
      </w:r>
    </w:p>
    <w:p w:rsidR="00FA1AA5" w:rsidRDefault="00FA1AA5" w:rsidP="00FA1AA5">
      <w:pPr>
        <w:numPr>
          <w:ilvl w:val="1"/>
          <w:numId w:val="10"/>
        </w:numPr>
      </w:pPr>
      <w:r>
        <w:t>Ko</w:t>
      </w:r>
      <w:r w:rsidRPr="0031675E">
        <w:t>munaln</w:t>
      </w:r>
      <w:r>
        <w:t>e</w:t>
      </w:r>
      <w:r w:rsidRPr="0031675E">
        <w:t xml:space="preserve"> uslug</w:t>
      </w:r>
      <w:r>
        <w:t>e</w:t>
      </w:r>
      <w:r w:rsidRPr="0031675E">
        <w:t xml:space="preserve"> (voda, smeće, deratizacija i dimnjačarske usluge) </w:t>
      </w:r>
      <w:r>
        <w:t>iznose</w:t>
      </w:r>
      <w:r w:rsidRPr="0031675E">
        <w:t xml:space="preserve"> </w:t>
      </w:r>
      <w:r w:rsidR="006546BD">
        <w:t>190.053,83</w:t>
      </w:r>
      <w:r w:rsidRPr="0031675E">
        <w:t xml:space="preserve"> kn</w:t>
      </w:r>
    </w:p>
    <w:p w:rsidR="00FA1AA5" w:rsidRDefault="00FA1AA5" w:rsidP="00FA1AA5">
      <w:pPr>
        <w:numPr>
          <w:ilvl w:val="1"/>
          <w:numId w:val="10"/>
        </w:numPr>
      </w:pPr>
      <w:r>
        <w:t xml:space="preserve">Zakupnine i najamnine iznose </w:t>
      </w:r>
      <w:r w:rsidR="006546BD">
        <w:t>58.360,02</w:t>
      </w:r>
      <w:r>
        <w:t xml:space="preserve"> kn</w:t>
      </w:r>
      <w:r w:rsidR="005D56D3">
        <w:t xml:space="preserve"> (kontejneri za odvojeno prikupljanje otpada i zakup opreme za Etno festival</w:t>
      </w:r>
      <w:r w:rsidR="00DA5A12">
        <w:t xml:space="preserve"> te Dan Općine</w:t>
      </w:r>
      <w:r w:rsidR="005D56D3">
        <w:t>)</w:t>
      </w:r>
    </w:p>
    <w:p w:rsidR="00FA1AA5" w:rsidRDefault="00FA1AA5" w:rsidP="00FA1AA5">
      <w:pPr>
        <w:numPr>
          <w:ilvl w:val="1"/>
          <w:numId w:val="10"/>
        </w:numPr>
      </w:pPr>
      <w:r>
        <w:t xml:space="preserve">Zdravstvene i veterinarske usluge iznose </w:t>
      </w:r>
      <w:r w:rsidR="00DA5A12">
        <w:t>273.235,37</w:t>
      </w:r>
      <w:r>
        <w:t xml:space="preserve"> kn. Navedena skupina rashoda značajno je porasla zbog povećanog broja pasa lutalica, te zaštite i veterinarskih usluga istih</w:t>
      </w:r>
      <w:r w:rsidR="008F6F3B">
        <w:t>, također i zbog potpisivanja Ugovora o zbrinjavanju životinja</w:t>
      </w:r>
    </w:p>
    <w:p w:rsidR="00FA1AA5" w:rsidRPr="0031675E" w:rsidRDefault="00FA1AA5" w:rsidP="00FA1AA5">
      <w:pPr>
        <w:numPr>
          <w:ilvl w:val="1"/>
          <w:numId w:val="10"/>
        </w:numPr>
      </w:pPr>
      <w:r>
        <w:t>I</w:t>
      </w:r>
      <w:r w:rsidRPr="0031675E">
        <w:t>ntelektualn</w:t>
      </w:r>
      <w:r>
        <w:t>e</w:t>
      </w:r>
      <w:r w:rsidRPr="0031675E">
        <w:t xml:space="preserve"> uslug</w:t>
      </w:r>
      <w:r>
        <w:t>e</w:t>
      </w:r>
      <w:r w:rsidRPr="0031675E">
        <w:t xml:space="preserve"> </w:t>
      </w:r>
      <w:r>
        <w:t>iznose</w:t>
      </w:r>
      <w:r w:rsidRPr="0031675E">
        <w:t xml:space="preserve"> </w:t>
      </w:r>
      <w:r w:rsidR="00DA5A12">
        <w:t>545.838,57</w:t>
      </w:r>
      <w:r>
        <w:t xml:space="preserve"> kn</w:t>
      </w:r>
      <w:r w:rsidRPr="0031675E">
        <w:t xml:space="preserve"> (naknada predsjedniku vijeća, geodetsko katastarske usluge</w:t>
      </w:r>
      <w:r w:rsidR="00995713">
        <w:t>,</w:t>
      </w:r>
      <w:r w:rsidRPr="0031675E">
        <w:t xml:space="preserve">  odvjetničke usluge</w:t>
      </w:r>
      <w:r w:rsidR="00995713">
        <w:t>, izrada projektne dokumentacije</w:t>
      </w:r>
      <w:r w:rsidRPr="0031675E">
        <w:t>)</w:t>
      </w:r>
      <w:r w:rsidR="00995713">
        <w:t>. Povećanje navedenih ra</w:t>
      </w:r>
      <w:r w:rsidR="00DA5A12">
        <w:t>shoda</w:t>
      </w:r>
      <w:r w:rsidR="00995713">
        <w:t xml:space="preserve"> od </w:t>
      </w:r>
      <w:r w:rsidR="00DA5A12">
        <w:t>30,2</w:t>
      </w:r>
      <w:r w:rsidR="00995713">
        <w:t>% odnosi se na veći broj izrad</w:t>
      </w:r>
      <w:r w:rsidR="00DA5A12">
        <w:t>a</w:t>
      </w:r>
      <w:r w:rsidR="00995713">
        <w:t xml:space="preserve"> projektne dokumentacije.</w:t>
      </w:r>
    </w:p>
    <w:p w:rsidR="00FA1AA5" w:rsidRDefault="00FA1AA5" w:rsidP="00FA1AA5">
      <w:pPr>
        <w:numPr>
          <w:ilvl w:val="1"/>
          <w:numId w:val="10"/>
        </w:numPr>
      </w:pPr>
      <w:r>
        <w:t xml:space="preserve">Računalne usluge iznose </w:t>
      </w:r>
      <w:r w:rsidR="00DA5A12">
        <w:t>106.388,78</w:t>
      </w:r>
      <w:r>
        <w:t xml:space="preserve">, a povećale su se u odnosu na prethodno izvještajno razdoblje </w:t>
      </w:r>
      <w:r w:rsidR="00995713">
        <w:t xml:space="preserve">za </w:t>
      </w:r>
      <w:r w:rsidR="00DA5A12">
        <w:t>8,2</w:t>
      </w:r>
      <w:r w:rsidR="00995713">
        <w:t xml:space="preserve">% zbog ažuriranja baze sustava i </w:t>
      </w:r>
      <w:r w:rsidR="00DA5A12">
        <w:t>prilagodne na uvođenje eura kao službene valute RH</w:t>
      </w:r>
      <w:r w:rsidR="00995713">
        <w:t>.</w:t>
      </w:r>
    </w:p>
    <w:p w:rsidR="00FA1AA5" w:rsidRDefault="00FA1AA5" w:rsidP="00FA1AA5">
      <w:pPr>
        <w:numPr>
          <w:ilvl w:val="1"/>
          <w:numId w:val="10"/>
        </w:numPr>
      </w:pPr>
      <w:r>
        <w:t>O</w:t>
      </w:r>
      <w:r w:rsidRPr="00233E47">
        <w:t>stal</w:t>
      </w:r>
      <w:r>
        <w:t>e</w:t>
      </w:r>
      <w:r w:rsidRPr="00233E47">
        <w:t xml:space="preserve"> uslug</w:t>
      </w:r>
      <w:r>
        <w:t>e</w:t>
      </w:r>
      <w:r w:rsidRPr="00233E47">
        <w:t xml:space="preserve"> (grafičke i tiskarske usluge – izrada pozivnica, kalendara, natječaja i dr.) </w:t>
      </w:r>
      <w:r>
        <w:t>iznose</w:t>
      </w:r>
      <w:r w:rsidRPr="00233E47">
        <w:t xml:space="preserve"> </w:t>
      </w:r>
      <w:r w:rsidR="00DA5A12">
        <w:t>89.956,78</w:t>
      </w:r>
      <w:r w:rsidRPr="00233E47">
        <w:t xml:space="preserve"> kn</w:t>
      </w:r>
    </w:p>
    <w:p w:rsidR="009C3C14" w:rsidRDefault="00FA1AA5" w:rsidP="00FA1AA5">
      <w:pPr>
        <w:numPr>
          <w:ilvl w:val="0"/>
          <w:numId w:val="10"/>
        </w:numPr>
      </w:pPr>
      <w:r w:rsidRPr="00233E47">
        <w:t>Ostali nespomenuti rashodi poslovanja</w:t>
      </w:r>
      <w:r>
        <w:t xml:space="preserve"> (</w:t>
      </w:r>
      <w:r w:rsidR="00DA5A12">
        <w:t>329</w:t>
      </w:r>
      <w:r>
        <w:t xml:space="preserve">), </w:t>
      </w:r>
      <w:r w:rsidRPr="00233E47">
        <w:t xml:space="preserve"> </w:t>
      </w:r>
      <w:r>
        <w:t xml:space="preserve">iznose </w:t>
      </w:r>
      <w:r w:rsidR="00DA5A12">
        <w:t>211.864,38</w:t>
      </w:r>
      <w:r w:rsidRPr="00233E47">
        <w:t xml:space="preserve"> </w:t>
      </w:r>
      <w:r w:rsidR="009C3C14">
        <w:t xml:space="preserve">kn te su u odnosu na prethodno razdoblje </w:t>
      </w:r>
      <w:r w:rsidR="00DA5A12">
        <w:t>manji</w:t>
      </w:r>
      <w:r w:rsidR="009C3C14">
        <w:t xml:space="preserve"> za </w:t>
      </w:r>
      <w:r w:rsidR="00DA5A12">
        <w:t>43,7</w:t>
      </w:r>
      <w:r w:rsidR="009C3C14">
        <w:t xml:space="preserve">%. Navedeno </w:t>
      </w:r>
      <w:r w:rsidR="00DA5A12">
        <w:t>smanjenje</w:t>
      </w:r>
      <w:r w:rsidR="009C3C14">
        <w:t xml:space="preserve"> odnosi se na naknade za rad povjerenstvima i bi</w:t>
      </w:r>
      <w:r w:rsidR="00DA5A12">
        <w:t>račkim odborima lokalnih izbora koji su ostvareni u prethodnom izvještajnom razdoblju</w:t>
      </w:r>
      <w:r w:rsidR="009C3C14">
        <w:t xml:space="preserve">. </w:t>
      </w:r>
    </w:p>
    <w:p w:rsidR="00FA1AA5" w:rsidRPr="00233E47" w:rsidRDefault="009C3C14" w:rsidP="009C3C14">
      <w:pPr>
        <w:ind w:left="720"/>
      </w:pPr>
      <w:r>
        <w:t xml:space="preserve">Rashodi </w:t>
      </w:r>
      <w:r w:rsidR="00FA1AA5">
        <w:t xml:space="preserve"> </w:t>
      </w:r>
      <w:r>
        <w:t xml:space="preserve">navedene skupine ostvareni su kako slijedi: </w:t>
      </w:r>
    </w:p>
    <w:p w:rsidR="00FA1AA5" w:rsidRPr="00DA5A12" w:rsidRDefault="00FA1AA5" w:rsidP="00FA1AA5">
      <w:pPr>
        <w:numPr>
          <w:ilvl w:val="1"/>
          <w:numId w:val="10"/>
        </w:numPr>
      </w:pPr>
      <w:r w:rsidRPr="00DA5A12">
        <w:t>Naknadu za rad predstavničkih i izvršnih tij</w:t>
      </w:r>
      <w:r w:rsidR="00DA5A12" w:rsidRPr="00DA5A12">
        <w:t>ela (naknada za sjednice vijeća</w:t>
      </w:r>
      <w:r w:rsidRPr="00DA5A12">
        <w:t xml:space="preserve">) u iznosu od </w:t>
      </w:r>
      <w:r w:rsidR="00DA5A12">
        <w:t>25.755,10</w:t>
      </w:r>
      <w:r w:rsidRPr="00DA5A12">
        <w:t xml:space="preserve"> kn</w:t>
      </w:r>
    </w:p>
    <w:p w:rsidR="00FA1AA5" w:rsidRDefault="00FA1AA5" w:rsidP="00FA1AA5">
      <w:pPr>
        <w:numPr>
          <w:ilvl w:val="1"/>
          <w:numId w:val="10"/>
        </w:numPr>
      </w:pPr>
      <w:r w:rsidRPr="00233E47">
        <w:t xml:space="preserve">Premiju osiguranja prijevoznih sredstava u iznosu </w:t>
      </w:r>
      <w:r w:rsidR="00DA5A12">
        <w:t>8.286,74</w:t>
      </w:r>
      <w:r w:rsidRPr="00233E47">
        <w:t xml:space="preserve"> kn</w:t>
      </w:r>
    </w:p>
    <w:p w:rsidR="00FA1AA5" w:rsidRDefault="00FA1AA5" w:rsidP="00FA1AA5">
      <w:pPr>
        <w:numPr>
          <w:ilvl w:val="1"/>
          <w:numId w:val="10"/>
        </w:numPr>
      </w:pPr>
      <w:r w:rsidRPr="00233E47">
        <w:t xml:space="preserve">Reprezentaciju u iznosu od </w:t>
      </w:r>
      <w:r w:rsidR="00DA5A12">
        <w:t>139.825,36</w:t>
      </w:r>
      <w:r w:rsidRPr="00233E47">
        <w:t xml:space="preserve"> kn</w:t>
      </w:r>
    </w:p>
    <w:p w:rsidR="00FA1AA5" w:rsidRDefault="00FA1AA5" w:rsidP="00FA1AA5">
      <w:pPr>
        <w:numPr>
          <w:ilvl w:val="1"/>
          <w:numId w:val="10"/>
        </w:numPr>
      </w:pPr>
      <w:r w:rsidRPr="00233E47">
        <w:t xml:space="preserve">Članarinu (LAG i Udruga općina RH) u iznosu od </w:t>
      </w:r>
      <w:r w:rsidR="009C3C14">
        <w:t>17.281</w:t>
      </w:r>
      <w:r w:rsidR="00DA5A12">
        <w:t>,12</w:t>
      </w:r>
      <w:r w:rsidRPr="00233E47">
        <w:t xml:space="preserve"> kn</w:t>
      </w:r>
    </w:p>
    <w:p w:rsidR="00FA1AA5" w:rsidRDefault="00FA1AA5" w:rsidP="00FA1AA5">
      <w:pPr>
        <w:numPr>
          <w:ilvl w:val="1"/>
          <w:numId w:val="10"/>
        </w:numPr>
      </w:pPr>
      <w:r w:rsidRPr="00233E47">
        <w:t xml:space="preserve">Javnobilježničke pristojbe u iznosu od </w:t>
      </w:r>
      <w:r w:rsidR="009C3C14">
        <w:t>6.</w:t>
      </w:r>
      <w:r w:rsidR="00DA5A12">
        <w:t>270,62</w:t>
      </w:r>
      <w:r>
        <w:t xml:space="preserve"> </w:t>
      </w:r>
      <w:r w:rsidRPr="00233E47">
        <w:t>kn</w:t>
      </w:r>
    </w:p>
    <w:p w:rsidR="00FA1AA5" w:rsidRPr="00233E47" w:rsidRDefault="00FA1AA5" w:rsidP="00DA5A12">
      <w:pPr>
        <w:numPr>
          <w:ilvl w:val="1"/>
          <w:numId w:val="10"/>
        </w:numPr>
      </w:pPr>
      <w:r w:rsidRPr="00233E47">
        <w:lastRenderedPageBreak/>
        <w:t xml:space="preserve">Ostale nespomenute rashode poslovanja u iznosu od </w:t>
      </w:r>
      <w:r w:rsidR="00DA5A12">
        <w:t>14.445,44</w:t>
      </w:r>
      <w:r w:rsidR="009C3C14">
        <w:t xml:space="preserve"> </w:t>
      </w:r>
      <w:r w:rsidRPr="00233E47">
        <w:t>kn</w:t>
      </w:r>
      <w:r w:rsidR="00DA5A12">
        <w:t xml:space="preserve"> (rashodi za organiziranje manifestacije Jesen na Bilogori te Dana Općine)</w:t>
      </w:r>
    </w:p>
    <w:p w:rsidR="00FA1AA5" w:rsidRDefault="00FA1AA5" w:rsidP="00FA1AA5"/>
    <w:p w:rsidR="00FA1AA5" w:rsidRDefault="00DA5A12" w:rsidP="00FA1AA5">
      <w:r>
        <w:rPr>
          <w:b/>
        </w:rPr>
        <w:t>34</w:t>
      </w:r>
      <w:r w:rsidR="00FA1AA5">
        <w:rPr>
          <w:b/>
        </w:rPr>
        <w:t xml:space="preserve"> </w:t>
      </w:r>
      <w:r w:rsidR="00FA1AA5" w:rsidRPr="00E9696F">
        <w:rPr>
          <w:b/>
        </w:rPr>
        <w:t>-</w:t>
      </w:r>
      <w:r w:rsidR="00FA1AA5">
        <w:rPr>
          <w:b/>
        </w:rPr>
        <w:t xml:space="preserve"> </w:t>
      </w:r>
      <w:r w:rsidR="00FA1AA5" w:rsidRPr="00E9696F">
        <w:rPr>
          <w:b/>
        </w:rPr>
        <w:t>Financijski rashodi</w:t>
      </w:r>
      <w:r w:rsidR="00FA1AA5">
        <w:rPr>
          <w:b/>
        </w:rPr>
        <w:t xml:space="preserve"> –</w:t>
      </w:r>
      <w:r w:rsidR="00FA1AA5">
        <w:t xml:space="preserve"> Rashodi po ovoj osnovi ostvareni su u iznosu </w:t>
      </w:r>
      <w:r>
        <w:t>15.895,55</w:t>
      </w:r>
      <w:r w:rsidR="00FA1AA5">
        <w:t xml:space="preserve"> kn, </w:t>
      </w:r>
      <w:r w:rsidR="009C3C14">
        <w:t xml:space="preserve">te su manji za </w:t>
      </w:r>
      <w:r>
        <w:t>58,3</w:t>
      </w:r>
      <w:r w:rsidR="009C3C14">
        <w:t xml:space="preserve">% zbog manjih rashoda po osnovi kamata na primljene kredite. </w:t>
      </w:r>
    </w:p>
    <w:p w:rsidR="009C3C14" w:rsidRPr="00233E47" w:rsidRDefault="009C3C14" w:rsidP="009C3C14">
      <w:r>
        <w:t xml:space="preserve">Rashodi  navedene skupine ostvareni su kako slijedi: </w:t>
      </w:r>
    </w:p>
    <w:p w:rsidR="00FA1AA5" w:rsidRDefault="00FA1AA5" w:rsidP="00FA1AA5">
      <w:pPr>
        <w:numPr>
          <w:ilvl w:val="0"/>
          <w:numId w:val="11"/>
        </w:numPr>
      </w:pPr>
      <w:r>
        <w:t xml:space="preserve">Bankarske usluge i usluge platnog prometa iznose </w:t>
      </w:r>
      <w:r w:rsidR="00DA5A12">
        <w:t xml:space="preserve">15.893,97 </w:t>
      </w:r>
      <w:r>
        <w:t>kn</w:t>
      </w:r>
    </w:p>
    <w:p w:rsidR="00DA5A12" w:rsidRDefault="00DA5A12" w:rsidP="00FA1AA5">
      <w:pPr>
        <w:numPr>
          <w:ilvl w:val="0"/>
          <w:numId w:val="11"/>
        </w:numPr>
      </w:pPr>
      <w:proofErr w:type="spellStart"/>
      <w:r>
        <w:t>Zatazne</w:t>
      </w:r>
      <w:proofErr w:type="spellEnd"/>
      <w:r>
        <w:t xml:space="preserve"> kamate 1,58 kn</w:t>
      </w:r>
    </w:p>
    <w:p w:rsidR="00FA1AA5" w:rsidRDefault="00FA1AA5" w:rsidP="00FA1AA5"/>
    <w:p w:rsidR="00FA1AA5" w:rsidRDefault="00DA5A12" w:rsidP="00FA1AA5">
      <w:r>
        <w:rPr>
          <w:b/>
        </w:rPr>
        <w:t>35</w:t>
      </w:r>
      <w:r w:rsidR="00FA1AA5">
        <w:rPr>
          <w:b/>
        </w:rPr>
        <w:t xml:space="preserve"> </w:t>
      </w:r>
      <w:r w:rsidR="00FA1AA5" w:rsidRPr="00E9696F">
        <w:rPr>
          <w:b/>
        </w:rPr>
        <w:t>-</w:t>
      </w:r>
      <w:r w:rsidR="00FA1AA5">
        <w:rPr>
          <w:b/>
        </w:rPr>
        <w:t xml:space="preserve"> </w:t>
      </w:r>
      <w:r w:rsidR="00FA1AA5" w:rsidRPr="00E9696F">
        <w:rPr>
          <w:b/>
        </w:rPr>
        <w:t>Subvencije</w:t>
      </w:r>
      <w:r w:rsidR="00FA1AA5">
        <w:rPr>
          <w:b/>
        </w:rPr>
        <w:t xml:space="preserve"> –</w:t>
      </w:r>
      <w:r w:rsidR="00FA1AA5">
        <w:t xml:space="preserve"> Rashodi po ovoj osnovi ostvareni su u iznosu </w:t>
      </w:r>
      <w:r>
        <w:t>237.315,44</w:t>
      </w:r>
      <w:r w:rsidR="00C61610">
        <w:t xml:space="preserve"> kn. </w:t>
      </w:r>
      <w:r w:rsidR="00FA1AA5">
        <w:t>Na s</w:t>
      </w:r>
      <w:r w:rsidR="00FA1AA5" w:rsidRPr="00562E9A">
        <w:t>ubvencije po</w:t>
      </w:r>
      <w:r w:rsidR="00FA1AA5">
        <w:t xml:space="preserve">ljoprivrednicima </w:t>
      </w:r>
      <w:r w:rsidR="00FA1AA5" w:rsidRPr="00562E9A">
        <w:t xml:space="preserve">kojima je cilj očuvanje i povećanje poljoprivredne proizvodnje i povećanje zaposlenosti </w:t>
      </w:r>
      <w:r w:rsidR="00FA1AA5">
        <w:t>odnosi se iznos od</w:t>
      </w:r>
      <w:r w:rsidR="00FA1AA5" w:rsidRPr="00562E9A">
        <w:t xml:space="preserve"> </w:t>
      </w:r>
      <w:r>
        <w:t>113.551,01</w:t>
      </w:r>
      <w:r w:rsidR="00C61610">
        <w:t xml:space="preserve"> </w:t>
      </w:r>
      <w:r w:rsidR="00FA1AA5">
        <w:t xml:space="preserve">kn, a na subvenciju obrtnicima za poticanje i očuvanje proizvodnje odnosi se iznos od </w:t>
      </w:r>
      <w:r>
        <w:t>123.764,43</w:t>
      </w:r>
      <w:r w:rsidR="00C61610">
        <w:t xml:space="preserve"> </w:t>
      </w:r>
      <w:r w:rsidR="00FA1AA5">
        <w:t>kn.</w:t>
      </w:r>
    </w:p>
    <w:p w:rsidR="00FA1AA5" w:rsidRDefault="00FA1AA5" w:rsidP="00FA1AA5"/>
    <w:p w:rsidR="00FA1AA5" w:rsidRPr="00A003F7" w:rsidRDefault="00CD372F" w:rsidP="00FA1AA5">
      <w:r>
        <w:rPr>
          <w:b/>
        </w:rPr>
        <w:t>36</w:t>
      </w:r>
      <w:r w:rsidR="00FA1AA5">
        <w:rPr>
          <w:b/>
        </w:rPr>
        <w:t xml:space="preserve"> – Pomoći dane u inozemstvo i unutar općeg proračuna – </w:t>
      </w:r>
      <w:r w:rsidR="00FA1AA5">
        <w:t xml:space="preserve">Rashodi po ovoj osnovi </w:t>
      </w:r>
      <w:r w:rsidR="00C61610">
        <w:t>odnose</w:t>
      </w:r>
      <w:r w:rsidR="00FA1AA5">
        <w:t xml:space="preserve"> se na tekuće pomoći </w:t>
      </w:r>
      <w:r>
        <w:t xml:space="preserve">unutar općeg proračuna, odnosno </w:t>
      </w:r>
      <w:r w:rsidR="00C61610">
        <w:t>sufinanciranje rada komunalnog redara</w:t>
      </w:r>
      <w:r>
        <w:t xml:space="preserve"> i sufinanciranje voditelja projekta </w:t>
      </w:r>
      <w:r w:rsidRPr="00CD372F">
        <w:t>"</w:t>
      </w:r>
      <w:proofErr w:type="spellStart"/>
      <w:r w:rsidRPr="00CD372F">
        <w:t>Trojačke</w:t>
      </w:r>
      <w:proofErr w:type="spellEnd"/>
      <w:r w:rsidRPr="00CD372F">
        <w:t xml:space="preserve"> ruž</w:t>
      </w:r>
      <w:r>
        <w:t>e - faza III" - prema Sporazumu</w:t>
      </w:r>
      <w:r w:rsidR="00C61610">
        <w:t xml:space="preserve"> u iznosu</w:t>
      </w:r>
      <w:r w:rsidR="00FA1AA5">
        <w:t xml:space="preserve"> od </w:t>
      </w:r>
      <w:r>
        <w:t xml:space="preserve">79.778,13 kn. </w:t>
      </w:r>
      <w:r w:rsidR="00C61610">
        <w:t xml:space="preserve">Najveći </w:t>
      </w:r>
      <w:r>
        <w:t>dio rashoda</w:t>
      </w:r>
      <w:r w:rsidR="00C61610">
        <w:t xml:space="preserve"> ove skupine odnosi se na prijenos sredstava proračunskim korisnicima iz nadležnog proračuna u iznosu od </w:t>
      </w:r>
      <w:r>
        <w:t>1.306.189,93</w:t>
      </w:r>
      <w:r w:rsidR="00C61610">
        <w:t xml:space="preserve"> kn. Navedeno se odnosi na prijenos sredstava proračunskom korisniku Dječji vrtić Veliko Trojstvo, koji se sa svojim radom započeo u prvoj polovici 2021. godine.</w:t>
      </w:r>
    </w:p>
    <w:p w:rsidR="00FA1AA5" w:rsidRDefault="00FA1AA5" w:rsidP="00FA1AA5">
      <w:pPr>
        <w:ind w:left="765"/>
      </w:pPr>
    </w:p>
    <w:p w:rsidR="00FA1AA5" w:rsidRDefault="00CD372F" w:rsidP="00FA1AA5">
      <w:r>
        <w:rPr>
          <w:b/>
        </w:rPr>
        <w:t>37</w:t>
      </w:r>
      <w:r w:rsidR="00FA1AA5">
        <w:rPr>
          <w:b/>
        </w:rPr>
        <w:t xml:space="preserve"> – Naknade građanima i kućanstvima – </w:t>
      </w:r>
      <w:r w:rsidR="00FA1AA5" w:rsidRPr="0031297D">
        <w:t>Rashodi po ovoj</w:t>
      </w:r>
      <w:r>
        <w:t xml:space="preserve"> skupini</w:t>
      </w:r>
      <w:r w:rsidR="00FA1AA5" w:rsidRPr="0031297D">
        <w:t xml:space="preserve"> </w:t>
      </w:r>
      <w:r w:rsidR="000066A5">
        <w:t>iznose</w:t>
      </w:r>
      <w:r w:rsidR="00FA1AA5">
        <w:t xml:space="preserve"> </w:t>
      </w:r>
      <w:r>
        <w:t>720.677,06</w:t>
      </w:r>
      <w:r w:rsidR="00FA1AA5">
        <w:t xml:space="preserve"> kn i odnose se na:</w:t>
      </w:r>
    </w:p>
    <w:p w:rsidR="006D293C" w:rsidRPr="006D293C" w:rsidRDefault="006D293C" w:rsidP="006D293C">
      <w:pPr>
        <w:numPr>
          <w:ilvl w:val="0"/>
          <w:numId w:val="12"/>
        </w:numPr>
      </w:pPr>
      <w:r>
        <w:t>Jednokratne novčane pomoći za novorođeno dijete</w:t>
      </w:r>
      <w:r w:rsidR="00FA1AA5" w:rsidRPr="0031297D">
        <w:t xml:space="preserve"> od </w:t>
      </w:r>
      <w:r>
        <w:t>1</w:t>
      </w:r>
      <w:r w:rsidR="00FC16E3">
        <w:t>0</w:t>
      </w:r>
      <w:r>
        <w:t>5.000</w:t>
      </w:r>
      <w:r w:rsidR="00FC16E3">
        <w:t>,00</w:t>
      </w:r>
      <w:r w:rsidR="00FA1AA5" w:rsidRPr="0031297D">
        <w:t xml:space="preserve"> kn</w:t>
      </w:r>
    </w:p>
    <w:p w:rsidR="00FA1AA5" w:rsidRDefault="00FA1AA5" w:rsidP="00FC16E3">
      <w:pPr>
        <w:numPr>
          <w:ilvl w:val="0"/>
          <w:numId w:val="12"/>
        </w:numPr>
      </w:pPr>
      <w:r>
        <w:t>P</w:t>
      </w:r>
      <w:r w:rsidRPr="0031297D">
        <w:t>rehranu za učenike slabijeg imovinskog stanja u iznosu od</w:t>
      </w:r>
      <w:r w:rsidR="001F1C12">
        <w:t xml:space="preserve"> </w:t>
      </w:r>
      <w:r w:rsidR="00FC16E3" w:rsidRPr="00FC16E3">
        <w:t>8</w:t>
      </w:r>
      <w:r w:rsidR="00FC16E3">
        <w:t>.</w:t>
      </w:r>
      <w:r w:rsidR="00FC16E3" w:rsidRPr="00FC16E3">
        <w:t xml:space="preserve">741,76 </w:t>
      </w:r>
      <w:r w:rsidRPr="0031297D">
        <w:t>kn</w:t>
      </w:r>
    </w:p>
    <w:p w:rsidR="00475819" w:rsidRDefault="00475819" w:rsidP="00FC16E3">
      <w:pPr>
        <w:numPr>
          <w:ilvl w:val="0"/>
          <w:numId w:val="12"/>
        </w:numPr>
      </w:pPr>
      <w:r>
        <w:t xml:space="preserve">Sufinanciranje cijene radnih bilježnica učenika osnovne škole od </w:t>
      </w:r>
      <w:r w:rsidR="00FC16E3" w:rsidRPr="00FC16E3">
        <w:t>77</w:t>
      </w:r>
      <w:r w:rsidR="00FC16E3">
        <w:t>.</w:t>
      </w:r>
      <w:r w:rsidR="00FC16E3" w:rsidRPr="00FC16E3">
        <w:t>333,9</w:t>
      </w:r>
      <w:r w:rsidR="00FC16E3">
        <w:t>0</w:t>
      </w:r>
      <w:r>
        <w:t xml:space="preserve"> kn</w:t>
      </w:r>
    </w:p>
    <w:p w:rsidR="00475819" w:rsidRDefault="00475819" w:rsidP="00FC16E3">
      <w:pPr>
        <w:numPr>
          <w:ilvl w:val="0"/>
          <w:numId w:val="12"/>
        </w:numPr>
      </w:pPr>
      <w:r>
        <w:t xml:space="preserve">Sufinanciranje cijene bilježnica učenika osnovne škole od </w:t>
      </w:r>
      <w:r w:rsidR="00FC16E3" w:rsidRPr="00FC16E3">
        <w:t xml:space="preserve">18.488,88 </w:t>
      </w:r>
      <w:r>
        <w:t>kn</w:t>
      </w:r>
    </w:p>
    <w:p w:rsidR="001F1C12" w:rsidRDefault="001F1C12" w:rsidP="00FC16E3">
      <w:pPr>
        <w:numPr>
          <w:ilvl w:val="0"/>
          <w:numId w:val="12"/>
        </w:numPr>
      </w:pPr>
      <w:r>
        <w:t xml:space="preserve">Sufinanciranje cijene za nabavu školskog pribora </w:t>
      </w:r>
      <w:r w:rsidR="00FC16E3" w:rsidRPr="00FC16E3">
        <w:t xml:space="preserve">4.084,41 </w:t>
      </w:r>
      <w:r>
        <w:t>kn</w:t>
      </w:r>
    </w:p>
    <w:p w:rsidR="00FC16E3" w:rsidRDefault="00FC16E3" w:rsidP="00FC16E3">
      <w:pPr>
        <w:numPr>
          <w:ilvl w:val="0"/>
          <w:numId w:val="12"/>
        </w:numPr>
      </w:pPr>
      <w:r>
        <w:t>Sufinanciranje smještaja učenika u učeničke domove 8.000,00 kn</w:t>
      </w:r>
    </w:p>
    <w:p w:rsidR="00475819" w:rsidRDefault="00475819" w:rsidP="00FC16E3">
      <w:pPr>
        <w:numPr>
          <w:ilvl w:val="0"/>
          <w:numId w:val="12"/>
        </w:numPr>
      </w:pPr>
      <w:r>
        <w:t xml:space="preserve">Potpore za vrhunska postignuća od </w:t>
      </w:r>
      <w:r w:rsidR="00FC16E3" w:rsidRPr="00FC16E3">
        <w:t xml:space="preserve">5.800,00 </w:t>
      </w:r>
      <w:r>
        <w:t>kn</w:t>
      </w:r>
    </w:p>
    <w:p w:rsidR="00FA1AA5" w:rsidRDefault="00FA1AA5" w:rsidP="00FC16E3">
      <w:pPr>
        <w:numPr>
          <w:ilvl w:val="0"/>
          <w:numId w:val="12"/>
        </w:numPr>
      </w:pPr>
      <w:r>
        <w:t>S</w:t>
      </w:r>
      <w:r w:rsidRPr="0031297D">
        <w:t>ufinanciranje cijene dječjeg vrt</w:t>
      </w:r>
      <w:r w:rsidR="00FC16E3">
        <w:t>ića</w:t>
      </w:r>
      <w:r w:rsidR="001F1C12">
        <w:t xml:space="preserve"> </w:t>
      </w:r>
      <w:r w:rsidR="00FC16E3" w:rsidRPr="00FC16E3">
        <w:t xml:space="preserve">90.050,00 </w:t>
      </w:r>
      <w:r w:rsidRPr="0031297D">
        <w:t>kn</w:t>
      </w:r>
    </w:p>
    <w:p w:rsidR="00FC16E3" w:rsidRDefault="00FC16E3" w:rsidP="003006BD">
      <w:pPr>
        <w:numPr>
          <w:ilvl w:val="0"/>
          <w:numId w:val="12"/>
        </w:numPr>
      </w:pPr>
      <w:r>
        <w:t>S</w:t>
      </w:r>
      <w:r w:rsidRPr="0031297D">
        <w:t xml:space="preserve">ufinanciranje cijene produženog boravka </w:t>
      </w:r>
      <w:r w:rsidR="003006BD" w:rsidRPr="003006BD">
        <w:t>86.783,51</w:t>
      </w:r>
      <w:r w:rsidR="003006BD">
        <w:t xml:space="preserve"> </w:t>
      </w:r>
      <w:r w:rsidRPr="0031297D">
        <w:t>kn</w:t>
      </w:r>
    </w:p>
    <w:p w:rsidR="003006BD" w:rsidRPr="00FC16E3" w:rsidRDefault="003006BD" w:rsidP="003006BD">
      <w:pPr>
        <w:numPr>
          <w:ilvl w:val="0"/>
          <w:numId w:val="12"/>
        </w:numPr>
      </w:pPr>
      <w:r w:rsidRPr="003006BD">
        <w:t>Sufinanci</w:t>
      </w:r>
      <w:r>
        <w:t>ranje škole plivanja za djecu s</w:t>
      </w:r>
      <w:r w:rsidRPr="003006BD">
        <w:t xml:space="preserve"> područja Općine Veliko Trojstvo</w:t>
      </w:r>
      <w:r>
        <w:t xml:space="preserve"> 3.500,00 kn</w:t>
      </w:r>
    </w:p>
    <w:p w:rsidR="00FA1AA5" w:rsidRPr="007A3770" w:rsidRDefault="00FA1AA5" w:rsidP="00FC16E3">
      <w:pPr>
        <w:numPr>
          <w:ilvl w:val="0"/>
          <w:numId w:val="12"/>
        </w:numPr>
      </w:pPr>
      <w:r>
        <w:t>S</w:t>
      </w:r>
      <w:r w:rsidRPr="0031297D">
        <w:t xml:space="preserve">ufinanciranje prijevoza učenika u iznosu od </w:t>
      </w:r>
      <w:r w:rsidR="00FC16E3" w:rsidRPr="00FC16E3">
        <w:t xml:space="preserve">80.856,20 </w:t>
      </w:r>
      <w:r w:rsidRPr="0031297D">
        <w:t>kn</w:t>
      </w:r>
    </w:p>
    <w:p w:rsidR="00FA1AA5" w:rsidRDefault="00FA1AA5" w:rsidP="00CD372F">
      <w:pPr>
        <w:numPr>
          <w:ilvl w:val="0"/>
          <w:numId w:val="12"/>
        </w:numPr>
      </w:pPr>
      <w:r>
        <w:t>J</w:t>
      </w:r>
      <w:r w:rsidRPr="0031297D">
        <w:t xml:space="preserve">ednokratne novčane pomoći samcima u iznosu od </w:t>
      </w:r>
      <w:r w:rsidR="00CD372F" w:rsidRPr="00CD372F">
        <w:t>13.617,84</w:t>
      </w:r>
      <w:r w:rsidR="00CD372F">
        <w:t xml:space="preserve"> </w:t>
      </w:r>
      <w:r w:rsidRPr="0031297D">
        <w:t>kn</w:t>
      </w:r>
    </w:p>
    <w:p w:rsidR="00FA1AA5" w:rsidRDefault="00FA1AA5" w:rsidP="00CD372F">
      <w:pPr>
        <w:numPr>
          <w:ilvl w:val="0"/>
          <w:numId w:val="12"/>
        </w:numPr>
      </w:pPr>
      <w:r>
        <w:t>J</w:t>
      </w:r>
      <w:r w:rsidRPr="0031297D">
        <w:t>ednokratne novčane pomoći studentima u iznosu od</w:t>
      </w:r>
      <w:r w:rsidR="00475819">
        <w:t xml:space="preserve"> </w:t>
      </w:r>
      <w:r w:rsidR="00CD372F" w:rsidRPr="00CD372F">
        <w:t>46.500,00</w:t>
      </w:r>
      <w:r w:rsidR="00CD372F">
        <w:t xml:space="preserve"> </w:t>
      </w:r>
      <w:r w:rsidRPr="0031297D">
        <w:t>kn</w:t>
      </w:r>
    </w:p>
    <w:p w:rsidR="00FC16E3" w:rsidRDefault="00FC16E3" w:rsidP="00FC16E3">
      <w:pPr>
        <w:numPr>
          <w:ilvl w:val="0"/>
          <w:numId w:val="12"/>
        </w:numPr>
      </w:pPr>
      <w:r>
        <w:t>J</w:t>
      </w:r>
      <w:r w:rsidRPr="0031297D">
        <w:t xml:space="preserve">ednokratne novčane pomoći </w:t>
      </w:r>
      <w:r>
        <w:t>umirovljenicima povodom blagdana Uskrs i Božić</w:t>
      </w:r>
      <w:r w:rsidRPr="0031297D">
        <w:t xml:space="preserve"> od</w:t>
      </w:r>
      <w:r>
        <w:t xml:space="preserve"> </w:t>
      </w:r>
      <w:r w:rsidRPr="00FC16E3">
        <w:t>148.700,00</w:t>
      </w:r>
      <w:r>
        <w:t xml:space="preserve"> kn</w:t>
      </w:r>
    </w:p>
    <w:p w:rsidR="00FC16E3" w:rsidRDefault="00FC16E3" w:rsidP="00FC16E3">
      <w:pPr>
        <w:numPr>
          <w:ilvl w:val="0"/>
          <w:numId w:val="12"/>
        </w:numPr>
      </w:pPr>
      <w:r>
        <w:t xml:space="preserve">Potpora mladim obiteljima za rješavanje stambenog pitanja </w:t>
      </w:r>
      <w:r w:rsidRPr="00FC16E3">
        <w:t>4</w:t>
      </w:r>
      <w:r>
        <w:t>.</w:t>
      </w:r>
      <w:r w:rsidRPr="00FC16E3">
        <w:t>508,56</w:t>
      </w:r>
      <w:r>
        <w:t xml:space="preserve"> kn</w:t>
      </w:r>
    </w:p>
    <w:p w:rsidR="00475819" w:rsidRDefault="00475819" w:rsidP="00FC16E3">
      <w:pPr>
        <w:numPr>
          <w:ilvl w:val="0"/>
          <w:numId w:val="12"/>
        </w:numPr>
      </w:pPr>
      <w:r>
        <w:t xml:space="preserve">Darovi za djecu sv. Nikola od </w:t>
      </w:r>
      <w:r w:rsidR="00FC16E3" w:rsidRPr="00FC16E3">
        <w:t xml:space="preserve">18.712,00 </w:t>
      </w:r>
      <w:r>
        <w:t>kn</w:t>
      </w:r>
    </w:p>
    <w:p w:rsidR="00FA1AA5" w:rsidRDefault="00FA1AA5" w:rsidP="00FA1AA5">
      <w:pPr>
        <w:ind w:left="720"/>
      </w:pPr>
    </w:p>
    <w:p w:rsidR="00FA1AA5" w:rsidRDefault="003006BD" w:rsidP="00FA1AA5">
      <w:r>
        <w:rPr>
          <w:b/>
        </w:rPr>
        <w:t>38</w:t>
      </w:r>
      <w:r w:rsidR="00FA1AA5">
        <w:rPr>
          <w:b/>
        </w:rPr>
        <w:t xml:space="preserve"> - </w:t>
      </w:r>
      <w:r w:rsidR="00FA1AA5" w:rsidRPr="00E9696F">
        <w:rPr>
          <w:b/>
        </w:rPr>
        <w:t>Ostali rashodi</w:t>
      </w:r>
      <w:r w:rsidR="00FA1AA5">
        <w:rPr>
          <w:b/>
        </w:rPr>
        <w:t xml:space="preserve"> </w:t>
      </w:r>
      <w:r w:rsidR="00FA1AA5">
        <w:t xml:space="preserve">– </w:t>
      </w:r>
      <w:r w:rsidR="00FA1AA5" w:rsidRPr="0031297D">
        <w:t>Rashodi po ovoj osnovi</w:t>
      </w:r>
      <w:r w:rsidR="00FA1AA5">
        <w:rPr>
          <w:b/>
        </w:rPr>
        <w:t xml:space="preserve"> </w:t>
      </w:r>
      <w:r w:rsidR="001F1C12">
        <w:t xml:space="preserve">ostvareni su u iznosu od </w:t>
      </w:r>
      <w:r>
        <w:t>865.343,25</w:t>
      </w:r>
      <w:r w:rsidR="00FA1AA5">
        <w:t xml:space="preserve"> kn.</w:t>
      </w:r>
    </w:p>
    <w:p w:rsidR="00FA1AA5" w:rsidRDefault="00FA1AA5" w:rsidP="00FA1AA5">
      <w:pPr>
        <w:numPr>
          <w:ilvl w:val="0"/>
          <w:numId w:val="13"/>
        </w:numPr>
      </w:pPr>
      <w:r>
        <w:t>Tekuće pomoći u novcu (</w:t>
      </w:r>
      <w:r w:rsidR="003006BD">
        <w:t>3811</w:t>
      </w:r>
      <w:r>
        <w:t xml:space="preserve">) iznose </w:t>
      </w:r>
      <w:r w:rsidR="003006BD">
        <w:t>840.843,25</w:t>
      </w:r>
      <w:r>
        <w:t xml:space="preserve"> kn, a odnose se na:</w:t>
      </w:r>
    </w:p>
    <w:p w:rsidR="00FA1AA5" w:rsidRDefault="00FA1AA5" w:rsidP="00FA1AA5">
      <w:pPr>
        <w:numPr>
          <w:ilvl w:val="1"/>
          <w:numId w:val="13"/>
        </w:numPr>
      </w:pPr>
      <w:r>
        <w:t>Ostale</w:t>
      </w:r>
      <w:r w:rsidRPr="008A69A0">
        <w:t xml:space="preserve"> udrug</w:t>
      </w:r>
      <w:r>
        <w:t>e</w:t>
      </w:r>
      <w:r w:rsidRPr="008A69A0">
        <w:t xml:space="preserve"> za razvoj socijalnih usluga usmjerenih na osobe s invaliditetom, djecu i njihove obitelji te starije osobe u iznosu od</w:t>
      </w:r>
      <w:r w:rsidR="003F70A3">
        <w:t xml:space="preserve"> </w:t>
      </w:r>
      <w:r w:rsidR="002A6338">
        <w:t>181.399,50</w:t>
      </w:r>
      <w:r w:rsidRPr="008A69A0">
        <w:t xml:space="preserve"> kn</w:t>
      </w:r>
    </w:p>
    <w:p w:rsidR="00373627" w:rsidRDefault="00373627" w:rsidP="00373627">
      <w:pPr>
        <w:numPr>
          <w:ilvl w:val="1"/>
          <w:numId w:val="13"/>
        </w:numPr>
      </w:pPr>
      <w:r>
        <w:lastRenderedPageBreak/>
        <w:t xml:space="preserve">Razvoj </w:t>
      </w:r>
      <w:r w:rsidRPr="008A69A0">
        <w:t>civilnog društva na području poljoprivrede</w:t>
      </w:r>
      <w:r>
        <w:t xml:space="preserve"> i lovstva</w:t>
      </w:r>
      <w:r w:rsidRPr="008A69A0">
        <w:t xml:space="preserve"> </w:t>
      </w:r>
      <w:r w:rsidR="00FA1AA5" w:rsidRPr="008A69A0">
        <w:t xml:space="preserve">u iznosu od </w:t>
      </w:r>
      <w:r w:rsidRPr="00373627">
        <w:t>38.000,00</w:t>
      </w:r>
      <w:r>
        <w:t xml:space="preserve"> kn</w:t>
      </w:r>
    </w:p>
    <w:p w:rsidR="00FA1AA5" w:rsidRDefault="00373627" w:rsidP="00373627">
      <w:pPr>
        <w:numPr>
          <w:ilvl w:val="1"/>
          <w:numId w:val="13"/>
        </w:numPr>
      </w:pPr>
      <w:r>
        <w:t xml:space="preserve">Razvoj </w:t>
      </w:r>
      <w:r w:rsidRPr="008A69A0">
        <w:t xml:space="preserve">civilnog društva na području </w:t>
      </w:r>
      <w:r>
        <w:t>turizma, turističkih manifestacija i natjecanja</w:t>
      </w:r>
      <w:r w:rsidRPr="008A69A0">
        <w:t xml:space="preserve"> u iznosu od </w:t>
      </w:r>
      <w:r w:rsidRPr="00373627">
        <w:t>26.000,00</w:t>
      </w:r>
      <w:r>
        <w:t xml:space="preserve"> </w:t>
      </w:r>
      <w:r w:rsidR="00FA1AA5" w:rsidRPr="008A69A0">
        <w:t>kn</w:t>
      </w:r>
    </w:p>
    <w:p w:rsidR="00FA1AA5" w:rsidRDefault="00FA1AA5" w:rsidP="00373627">
      <w:pPr>
        <w:numPr>
          <w:ilvl w:val="1"/>
          <w:numId w:val="13"/>
        </w:numPr>
      </w:pPr>
      <w:r>
        <w:t>Poticanje</w:t>
      </w:r>
      <w:r w:rsidRPr="008A69A0">
        <w:t xml:space="preserve"> kulturnih aktivnosti u iznosu od </w:t>
      </w:r>
      <w:r w:rsidR="00373627" w:rsidRPr="00373627">
        <w:t>41.250,00</w:t>
      </w:r>
      <w:r w:rsidR="00373627">
        <w:t xml:space="preserve"> </w:t>
      </w:r>
      <w:r w:rsidRPr="008A69A0">
        <w:t>kn</w:t>
      </w:r>
    </w:p>
    <w:p w:rsidR="00FA1AA5" w:rsidRDefault="00FA1AA5" w:rsidP="00373627">
      <w:pPr>
        <w:numPr>
          <w:ilvl w:val="1"/>
          <w:numId w:val="13"/>
        </w:numPr>
      </w:pPr>
      <w:r>
        <w:t>Razvoj</w:t>
      </w:r>
      <w:r w:rsidRPr="008A69A0">
        <w:t xml:space="preserve"> civilnog društva na području zdravstva i socijalne skrbi – skrb o umirovljenicima u iznosu od </w:t>
      </w:r>
      <w:r w:rsidR="00373627" w:rsidRPr="00373627">
        <w:t>23.750,00</w:t>
      </w:r>
      <w:r w:rsidR="00373627">
        <w:t xml:space="preserve"> </w:t>
      </w:r>
      <w:r w:rsidRPr="008A69A0">
        <w:t>kn</w:t>
      </w:r>
    </w:p>
    <w:p w:rsidR="00FA1AA5" w:rsidRDefault="00FA1AA5" w:rsidP="002A6338">
      <w:pPr>
        <w:numPr>
          <w:ilvl w:val="1"/>
          <w:numId w:val="13"/>
        </w:numPr>
      </w:pPr>
      <w:r>
        <w:t>U</w:t>
      </w:r>
      <w:r w:rsidRPr="008A69A0">
        <w:t>naprjeđenj</w:t>
      </w:r>
      <w:r>
        <w:t>e</w:t>
      </w:r>
      <w:r w:rsidRPr="008A69A0">
        <w:t xml:space="preserve"> i poticanj</w:t>
      </w:r>
      <w:r>
        <w:t>e</w:t>
      </w:r>
      <w:r w:rsidRPr="008A69A0">
        <w:t xml:space="preserve"> rasta braniteljskih udruga u iznosu od </w:t>
      </w:r>
      <w:r w:rsidR="002A6338" w:rsidRPr="002A6338">
        <w:t xml:space="preserve">19.000,00 </w:t>
      </w:r>
      <w:r w:rsidRPr="008A69A0">
        <w:t>kn</w:t>
      </w:r>
    </w:p>
    <w:p w:rsidR="00FA1AA5" w:rsidRDefault="00FA1AA5" w:rsidP="002A6338">
      <w:pPr>
        <w:numPr>
          <w:ilvl w:val="1"/>
          <w:numId w:val="13"/>
        </w:numPr>
      </w:pPr>
      <w:r>
        <w:t>P</w:t>
      </w:r>
      <w:r w:rsidRPr="008A69A0">
        <w:t xml:space="preserve">olitičke stranke u iznosu od </w:t>
      </w:r>
      <w:r w:rsidR="002A6338" w:rsidRPr="002A6338">
        <w:t>13.300,00</w:t>
      </w:r>
      <w:r w:rsidRPr="008A69A0">
        <w:t xml:space="preserve"> kn</w:t>
      </w:r>
    </w:p>
    <w:p w:rsidR="00FA1AA5" w:rsidRDefault="00FA1AA5" w:rsidP="002A6338">
      <w:pPr>
        <w:numPr>
          <w:ilvl w:val="1"/>
          <w:numId w:val="13"/>
        </w:numPr>
      </w:pPr>
      <w:r>
        <w:t xml:space="preserve">Razvoj sporta i rekreacije u iznos od </w:t>
      </w:r>
      <w:r w:rsidR="002A6338" w:rsidRPr="002A6338">
        <w:t>208.000,00</w:t>
      </w:r>
      <w:r w:rsidR="003F70A3">
        <w:t xml:space="preserve"> </w:t>
      </w:r>
      <w:r>
        <w:t>kn</w:t>
      </w:r>
    </w:p>
    <w:p w:rsidR="00FA1AA5" w:rsidRDefault="00FA1AA5" w:rsidP="00FA1AA5">
      <w:pPr>
        <w:numPr>
          <w:ilvl w:val="1"/>
          <w:numId w:val="13"/>
        </w:numPr>
      </w:pPr>
      <w:r>
        <w:t>O</w:t>
      </w:r>
      <w:r w:rsidRPr="008A34B8">
        <w:t>rganizacij</w:t>
      </w:r>
      <w:r>
        <w:t>i</w:t>
      </w:r>
      <w:r w:rsidRPr="008A34B8">
        <w:t xml:space="preserve"> i provođenj</w:t>
      </w:r>
      <w:r>
        <w:t>u</w:t>
      </w:r>
      <w:r w:rsidRPr="008A34B8">
        <w:t xml:space="preserve"> zaštite i spašavanja – VZO, HGSS i Civilna zaštita u iznosu od </w:t>
      </w:r>
      <w:r w:rsidR="003F70A3">
        <w:t>2</w:t>
      </w:r>
      <w:r w:rsidR="002A6338">
        <w:t xml:space="preserve">45.143,75 </w:t>
      </w:r>
      <w:r w:rsidRPr="008A34B8">
        <w:t>kn</w:t>
      </w:r>
    </w:p>
    <w:p w:rsidR="002A6338" w:rsidRDefault="002A6338" w:rsidP="002A6338">
      <w:pPr>
        <w:numPr>
          <w:ilvl w:val="1"/>
          <w:numId w:val="13"/>
        </w:numPr>
      </w:pPr>
      <w:r>
        <w:t xml:space="preserve">Donacija </w:t>
      </w:r>
      <w:r w:rsidRPr="002A6338">
        <w:t>Turističk</w:t>
      </w:r>
      <w:r>
        <w:t>oj</w:t>
      </w:r>
      <w:r w:rsidRPr="002A6338">
        <w:t xml:space="preserve"> zajednica Bilogora </w:t>
      </w:r>
      <w:r>
        <w:t>–</w:t>
      </w:r>
      <w:r w:rsidRPr="002A6338">
        <w:t xml:space="preserve"> Bjelovar</w:t>
      </w:r>
      <w:r>
        <w:t xml:space="preserve"> 20.000,00 kn</w:t>
      </w:r>
    </w:p>
    <w:p w:rsidR="001F1C12" w:rsidRDefault="001F1C12" w:rsidP="00373627">
      <w:pPr>
        <w:numPr>
          <w:ilvl w:val="1"/>
          <w:numId w:val="13"/>
        </w:numPr>
      </w:pPr>
      <w:r>
        <w:t xml:space="preserve">Donacije vjerskim zajednicama u iznosu od </w:t>
      </w:r>
      <w:r w:rsidR="00373627" w:rsidRPr="00373627">
        <w:t>25.000,00</w:t>
      </w:r>
      <w:r w:rsidR="00373627">
        <w:t xml:space="preserve"> </w:t>
      </w:r>
      <w:r>
        <w:t>kn</w:t>
      </w:r>
    </w:p>
    <w:p w:rsidR="00FA1AA5" w:rsidRPr="008A34B8" w:rsidRDefault="00FA1AA5" w:rsidP="00FA1AA5">
      <w:pPr>
        <w:numPr>
          <w:ilvl w:val="0"/>
          <w:numId w:val="13"/>
        </w:numPr>
      </w:pPr>
      <w:r>
        <w:t>Kapitalne donacije neprofitnim organizacijama (</w:t>
      </w:r>
      <w:r w:rsidR="002A6338">
        <w:t>3821</w:t>
      </w:r>
      <w:r>
        <w:t xml:space="preserve">) u iznosu od </w:t>
      </w:r>
      <w:r w:rsidR="002A6338">
        <w:t>24.500,00</w:t>
      </w:r>
      <w:r>
        <w:t xml:space="preserve"> kn, odnose se na donaciju vjerskim zajednicama</w:t>
      </w:r>
      <w:r w:rsidR="002A6338">
        <w:t xml:space="preserve"> za obnovu sakralnih objekata</w:t>
      </w:r>
      <w:r>
        <w:t>.</w:t>
      </w:r>
    </w:p>
    <w:p w:rsidR="00FA1AA5" w:rsidRDefault="00FA1AA5" w:rsidP="00FA1AA5">
      <w:r w:rsidRPr="00E74A69">
        <w:t xml:space="preserve"> </w:t>
      </w:r>
      <w:r>
        <w:t xml:space="preserve">     </w:t>
      </w:r>
    </w:p>
    <w:p w:rsidR="001E5FC9" w:rsidRDefault="001E5FC9" w:rsidP="001E5FC9">
      <w:r>
        <w:rPr>
          <w:b/>
        </w:rPr>
        <w:t xml:space="preserve">41- </w:t>
      </w:r>
      <w:r w:rsidRPr="00B3314F">
        <w:rPr>
          <w:b/>
        </w:rPr>
        <w:t xml:space="preserve">Rashodi za nabavu </w:t>
      </w:r>
      <w:proofErr w:type="spellStart"/>
      <w:r>
        <w:rPr>
          <w:b/>
        </w:rPr>
        <w:t>ne</w:t>
      </w:r>
      <w:r w:rsidRPr="00B3314F">
        <w:rPr>
          <w:b/>
        </w:rPr>
        <w:t>proizvedene</w:t>
      </w:r>
      <w:proofErr w:type="spellEnd"/>
      <w:r w:rsidRPr="00B3314F">
        <w:rPr>
          <w:b/>
        </w:rPr>
        <w:t xml:space="preserve"> dugotrajne imovine</w:t>
      </w:r>
      <w:r>
        <w:rPr>
          <w:b/>
        </w:rPr>
        <w:t xml:space="preserve"> –</w:t>
      </w:r>
      <w:r>
        <w:t xml:space="preserve"> </w:t>
      </w:r>
      <w:r w:rsidRPr="0031297D">
        <w:t>Rashodi po ovoj osnovi</w:t>
      </w:r>
      <w:r>
        <w:t xml:space="preserve"> iznose 15.000,00 kn, a u cjelokupnom iznosu odnose se na kupnju zemljišta za izgradnju dječjeg igrališta u naselju </w:t>
      </w:r>
      <w:proofErr w:type="spellStart"/>
      <w:r>
        <w:t>Maglenča</w:t>
      </w:r>
      <w:proofErr w:type="spellEnd"/>
      <w:r>
        <w:t>.</w:t>
      </w:r>
    </w:p>
    <w:p w:rsidR="001E5FC9" w:rsidRDefault="001E5FC9" w:rsidP="00FA1AA5"/>
    <w:p w:rsidR="00FA1AA5" w:rsidRDefault="001E5FC9" w:rsidP="00FA1AA5">
      <w:r>
        <w:rPr>
          <w:b/>
        </w:rPr>
        <w:t>42</w:t>
      </w:r>
      <w:r w:rsidR="00FA1AA5">
        <w:rPr>
          <w:b/>
        </w:rPr>
        <w:t xml:space="preserve">- </w:t>
      </w:r>
      <w:r w:rsidR="00FA1AA5" w:rsidRPr="00B3314F">
        <w:rPr>
          <w:b/>
        </w:rPr>
        <w:t>Rashodi za nabavu proizvedene dugotrajne imovine</w:t>
      </w:r>
      <w:r w:rsidR="00FA1AA5">
        <w:rPr>
          <w:b/>
        </w:rPr>
        <w:t xml:space="preserve"> –</w:t>
      </w:r>
      <w:r w:rsidR="00FA1AA5">
        <w:t xml:space="preserve"> </w:t>
      </w:r>
      <w:r w:rsidR="00FA1AA5" w:rsidRPr="0031297D">
        <w:t>Rashodi po ovoj osnovi</w:t>
      </w:r>
      <w:r w:rsidR="00FA1AA5">
        <w:t xml:space="preserve"> iznose </w:t>
      </w:r>
      <w:r>
        <w:t>1.174.337,84</w:t>
      </w:r>
      <w:r w:rsidR="000078A1">
        <w:t xml:space="preserve"> kn, te su za </w:t>
      </w:r>
      <w:r>
        <w:t>43</w:t>
      </w:r>
      <w:r w:rsidR="000078A1">
        <w:t>% manji u odnosu na prethodnu godinu</w:t>
      </w:r>
      <w:r>
        <w:t>.</w:t>
      </w:r>
    </w:p>
    <w:p w:rsidR="00911C65" w:rsidRDefault="00911C65" w:rsidP="00FA1AA5">
      <w:r>
        <w:t xml:space="preserve">Rashodi navedene skupine raspodjeljuju se kako slijedi: </w:t>
      </w:r>
    </w:p>
    <w:p w:rsidR="00FA1AA5" w:rsidRDefault="00911C65" w:rsidP="00E6488A">
      <w:pPr>
        <w:numPr>
          <w:ilvl w:val="0"/>
          <w:numId w:val="14"/>
        </w:numPr>
      </w:pPr>
      <w:r>
        <w:t>Poslovni objekti (</w:t>
      </w:r>
      <w:r w:rsidR="00E6488A">
        <w:t>4212</w:t>
      </w:r>
      <w:r>
        <w:t xml:space="preserve">) iznose </w:t>
      </w:r>
      <w:r w:rsidR="00E6488A">
        <w:t xml:space="preserve">51.875,00 </w:t>
      </w:r>
      <w:r>
        <w:t>kn, a odnose se na</w:t>
      </w:r>
      <w:r w:rsidR="00FA1AA5">
        <w:t xml:space="preserve"> </w:t>
      </w:r>
      <w:r w:rsidR="00E6488A">
        <w:t>p</w:t>
      </w:r>
      <w:r w:rsidR="00E6488A" w:rsidRPr="00E6488A">
        <w:t>ostupa</w:t>
      </w:r>
      <w:r w:rsidR="00E6488A">
        <w:t xml:space="preserve">k javne nabave za rekonstrukciju i građenje građevine društvene i javne namjene - </w:t>
      </w:r>
      <w:r w:rsidR="00E6488A" w:rsidRPr="00E6488A">
        <w:t>Kulturni centar</w:t>
      </w:r>
      <w:r>
        <w:t>.</w:t>
      </w:r>
    </w:p>
    <w:p w:rsidR="00E6488A" w:rsidRDefault="00E6488A" w:rsidP="00E6488A">
      <w:pPr>
        <w:numPr>
          <w:ilvl w:val="0"/>
          <w:numId w:val="14"/>
        </w:numPr>
      </w:pPr>
      <w:r>
        <w:t>Ceste (4213) iznose 83.712,13 kn, a</w:t>
      </w:r>
      <w:r w:rsidRPr="00E6488A">
        <w:t xml:space="preserve"> </w:t>
      </w:r>
      <w:r>
        <w:t xml:space="preserve">odnosi na izgradnju i asfaltiranje ceste u ulici </w:t>
      </w:r>
      <w:proofErr w:type="spellStart"/>
      <w:r>
        <w:t>Jovača</w:t>
      </w:r>
      <w:proofErr w:type="spellEnd"/>
      <w:r>
        <w:t>, te</w:t>
      </w:r>
      <w:r w:rsidRPr="00AC3BDF">
        <w:t xml:space="preserve"> </w:t>
      </w:r>
      <w:r>
        <w:t>i</w:t>
      </w:r>
      <w:r w:rsidRPr="00AC3BDF">
        <w:t>zgradnja i uređenje parkirališta i okoliša u V</w:t>
      </w:r>
      <w:r>
        <w:t>elikom Trojstvu - NC Vinogradska I</w:t>
      </w:r>
    </w:p>
    <w:p w:rsidR="00911C65" w:rsidRDefault="00911C65" w:rsidP="00E6488A">
      <w:pPr>
        <w:numPr>
          <w:ilvl w:val="0"/>
          <w:numId w:val="14"/>
        </w:numPr>
      </w:pPr>
      <w:r>
        <w:t>Ostali građevinski objekti (</w:t>
      </w:r>
      <w:r w:rsidR="00E6488A">
        <w:t>4214</w:t>
      </w:r>
      <w:r>
        <w:t xml:space="preserve">) iznose </w:t>
      </w:r>
      <w:r w:rsidR="00E6488A">
        <w:t>554.246,73</w:t>
      </w:r>
      <w:r>
        <w:t xml:space="preserve"> kn, a odnose se na gradnju </w:t>
      </w:r>
      <w:proofErr w:type="spellStart"/>
      <w:r>
        <w:t>Mrtvaćnice</w:t>
      </w:r>
      <w:proofErr w:type="spellEnd"/>
      <w:r>
        <w:t xml:space="preserve"> u mjestu </w:t>
      </w:r>
      <w:r w:rsidR="00E6488A">
        <w:t>Višnjevac</w:t>
      </w:r>
      <w:r>
        <w:t>, uređenje dječjeg igrališta</w:t>
      </w:r>
      <w:r w:rsidR="00E6488A" w:rsidRPr="00E6488A">
        <w:t xml:space="preserve"> u </w:t>
      </w:r>
      <w:proofErr w:type="spellStart"/>
      <w:r w:rsidR="00E6488A" w:rsidRPr="00E6488A">
        <w:t>Maglenč</w:t>
      </w:r>
      <w:r w:rsidR="00E6488A">
        <w:t>i</w:t>
      </w:r>
      <w:proofErr w:type="spellEnd"/>
      <w:r w:rsidR="00E6488A">
        <w:t xml:space="preserve"> (penjalica-tobogan-ljuljačka, </w:t>
      </w:r>
      <w:proofErr w:type="spellStart"/>
      <w:r w:rsidR="00E6488A" w:rsidRPr="00E6488A">
        <w:t>klatilica</w:t>
      </w:r>
      <w:proofErr w:type="spellEnd"/>
      <w:r w:rsidR="00E6488A" w:rsidRPr="00E6488A">
        <w:t>, njihalica, vrtuljak i klupa)</w:t>
      </w:r>
      <w:r>
        <w:t>, te dodatna izgradnja priključaka na komunalnu mrežu.</w:t>
      </w:r>
    </w:p>
    <w:p w:rsidR="00FA1AA5" w:rsidRDefault="00FA1AA5" w:rsidP="00FA1AA5">
      <w:pPr>
        <w:numPr>
          <w:ilvl w:val="0"/>
          <w:numId w:val="14"/>
        </w:numPr>
      </w:pPr>
      <w:r>
        <w:t>Uredsk</w:t>
      </w:r>
      <w:r w:rsidR="00911C65">
        <w:t>a oprema i namještaj (</w:t>
      </w:r>
      <w:r w:rsidR="00E6488A">
        <w:t>4221</w:t>
      </w:r>
      <w:r w:rsidR="00911C65">
        <w:t xml:space="preserve">) iznose </w:t>
      </w:r>
      <w:r w:rsidR="00E6488A">
        <w:t>5.750,00</w:t>
      </w:r>
      <w:r w:rsidR="00911C65">
        <w:t xml:space="preserve"> kn, a odnose se na </w:t>
      </w:r>
      <w:r>
        <w:t>nabava</w:t>
      </w:r>
      <w:r w:rsidR="00911C65">
        <w:t xml:space="preserve"> </w:t>
      </w:r>
      <w:r w:rsidR="00E6488A">
        <w:t>ormara za registratore</w:t>
      </w:r>
      <w:r w:rsidR="00911C65">
        <w:t>.</w:t>
      </w:r>
    </w:p>
    <w:p w:rsidR="00911C65" w:rsidRDefault="00911C65" w:rsidP="00E6488A">
      <w:pPr>
        <w:numPr>
          <w:ilvl w:val="0"/>
          <w:numId w:val="14"/>
        </w:numPr>
      </w:pPr>
      <w:r>
        <w:t>Oprema za održavanje i zaštitu (</w:t>
      </w:r>
      <w:r w:rsidR="00E6488A">
        <w:t>4223</w:t>
      </w:r>
      <w:r>
        <w:t xml:space="preserve">) iznosi </w:t>
      </w:r>
      <w:r w:rsidR="00E6488A">
        <w:t xml:space="preserve">80.610,61 kn, </w:t>
      </w:r>
      <w:r>
        <w:t xml:space="preserve">a odnosi se na rashode za nabavu </w:t>
      </w:r>
      <w:r w:rsidR="00E6488A">
        <w:t xml:space="preserve">klima uređaja u domovima mjesta </w:t>
      </w:r>
      <w:proofErr w:type="spellStart"/>
      <w:r w:rsidR="00E6488A">
        <w:t>Kegljevac</w:t>
      </w:r>
      <w:proofErr w:type="spellEnd"/>
      <w:r w:rsidR="00E6488A">
        <w:t xml:space="preserve">, </w:t>
      </w:r>
      <w:proofErr w:type="spellStart"/>
      <w:r w:rsidR="007F1C69">
        <w:t>Ćurlovac</w:t>
      </w:r>
      <w:proofErr w:type="spellEnd"/>
      <w:r w:rsidR="007F1C69">
        <w:t>, Višnjevac i Martinac.</w:t>
      </w:r>
    </w:p>
    <w:p w:rsidR="00FA1AA5" w:rsidRDefault="00FA1AA5" w:rsidP="00FA1AA5">
      <w:pPr>
        <w:numPr>
          <w:ilvl w:val="0"/>
          <w:numId w:val="14"/>
        </w:numPr>
      </w:pPr>
      <w:r>
        <w:t>Uređaji, strojevi i oprema za ostale namjene (</w:t>
      </w:r>
      <w:r w:rsidR="007F1C69">
        <w:t>4227</w:t>
      </w:r>
      <w:r>
        <w:t xml:space="preserve">) </w:t>
      </w:r>
      <w:r w:rsidR="00911C65">
        <w:t xml:space="preserve">iznosi </w:t>
      </w:r>
      <w:r w:rsidR="007F1C69">
        <w:t>398.143,37</w:t>
      </w:r>
      <w:r w:rsidR="00911C65">
        <w:t xml:space="preserve"> kn, a odnosi se </w:t>
      </w:r>
      <w:r w:rsidR="007F1C69">
        <w:t xml:space="preserve">na nabavu vanjskih kamina – Vidikovac, oprema sa klupom i odrom - </w:t>
      </w:r>
      <w:r w:rsidR="007F1C69" w:rsidRPr="00F73E02">
        <w:t xml:space="preserve">Mrtvačnica u </w:t>
      </w:r>
      <w:proofErr w:type="spellStart"/>
      <w:r w:rsidR="007F1C69" w:rsidRPr="00F73E02">
        <w:t>Ćurlovcu</w:t>
      </w:r>
      <w:proofErr w:type="spellEnd"/>
      <w:r w:rsidR="007F1C69">
        <w:t>, opremanje stana za izbjeglice iz Ukrajine, nabavu štandova s tendama – Etno park, nabavu k</w:t>
      </w:r>
      <w:r w:rsidR="007F1C69" w:rsidRPr="00F73E02">
        <w:t>omunaln</w:t>
      </w:r>
      <w:r w:rsidR="007F1C69">
        <w:t>e</w:t>
      </w:r>
      <w:r w:rsidR="007F1C69" w:rsidRPr="00F73E02">
        <w:t xml:space="preserve"> oprema </w:t>
      </w:r>
      <w:r w:rsidR="007F1C69">
        <w:t>–</w:t>
      </w:r>
      <w:r w:rsidR="007F1C69" w:rsidRPr="00F73E02">
        <w:t xml:space="preserve"> </w:t>
      </w:r>
      <w:r w:rsidR="007F1C69">
        <w:t xml:space="preserve">rabljeni traktor s </w:t>
      </w:r>
      <w:proofErr w:type="spellStart"/>
      <w:r w:rsidR="007F1C69" w:rsidRPr="00F73E02">
        <w:t>kranskim</w:t>
      </w:r>
      <w:proofErr w:type="spellEnd"/>
      <w:r w:rsidR="007F1C69" w:rsidRPr="00F73E02">
        <w:t xml:space="preserve"> </w:t>
      </w:r>
      <w:proofErr w:type="spellStart"/>
      <w:r w:rsidR="007F1C69" w:rsidRPr="00F73E02">
        <w:t>malčerom</w:t>
      </w:r>
      <w:proofErr w:type="spellEnd"/>
      <w:r w:rsidR="007F1C69">
        <w:t>,</w:t>
      </w:r>
      <w:r w:rsidR="007F1C69" w:rsidRPr="00F73E02">
        <w:t xml:space="preserve"> </w:t>
      </w:r>
      <w:r w:rsidR="007F1C69">
        <w:t xml:space="preserve">nabava </w:t>
      </w:r>
      <w:r w:rsidR="007F1C69" w:rsidRPr="00F73E02">
        <w:t>jedr</w:t>
      </w:r>
      <w:r w:rsidR="007F1C69">
        <w:t>a</w:t>
      </w:r>
      <w:r w:rsidR="007F1C69" w:rsidRPr="00F73E02">
        <w:t xml:space="preserve"> za sjenilo</w:t>
      </w:r>
      <w:r w:rsidR="007F1C69">
        <w:t xml:space="preserve"> -</w:t>
      </w:r>
      <w:r w:rsidR="007F1C69" w:rsidRPr="00F73E02">
        <w:t xml:space="preserve"> </w:t>
      </w:r>
      <w:r w:rsidR="007F1C69">
        <w:t>Dječje igralište kod vrtića, te nabava jarbola i zastava ispred zgrade Općine</w:t>
      </w:r>
    </w:p>
    <w:p w:rsidR="00FA1AA5" w:rsidRDefault="00FA1AA5" w:rsidP="00FA1AA5"/>
    <w:p w:rsidR="00FA1AA5" w:rsidRDefault="007F1C69" w:rsidP="00FA1AA5">
      <w:r>
        <w:rPr>
          <w:b/>
        </w:rPr>
        <w:t>45</w:t>
      </w:r>
      <w:r w:rsidR="00FA1AA5">
        <w:rPr>
          <w:b/>
        </w:rPr>
        <w:t xml:space="preserve">- </w:t>
      </w:r>
      <w:r w:rsidR="00FA1AA5" w:rsidRPr="00B3314F">
        <w:rPr>
          <w:b/>
        </w:rPr>
        <w:t xml:space="preserve">Rashodi za </w:t>
      </w:r>
      <w:r w:rsidR="00FA1AA5">
        <w:rPr>
          <w:b/>
        </w:rPr>
        <w:t xml:space="preserve">dodatna ulaganja na nefinancijskoj imovini – </w:t>
      </w:r>
      <w:r w:rsidR="00FA1AA5">
        <w:t>Rashodi ove skupine odnose se na modernizaciju javne rasvjete</w:t>
      </w:r>
      <w:r>
        <w:t xml:space="preserve"> u mjestu </w:t>
      </w:r>
      <w:proofErr w:type="spellStart"/>
      <w:r>
        <w:t>Maglenča</w:t>
      </w:r>
      <w:proofErr w:type="spellEnd"/>
      <w:r w:rsidR="00FA1AA5">
        <w:t xml:space="preserve"> u cjelokupnom iznosu od </w:t>
      </w:r>
      <w:r>
        <w:t>172.275,00</w:t>
      </w:r>
      <w:r w:rsidR="00FA1AA5">
        <w:t xml:space="preserve"> kn.</w:t>
      </w:r>
    </w:p>
    <w:p w:rsidR="00E01353" w:rsidRDefault="00E01353" w:rsidP="00E01353">
      <w:pPr>
        <w:rPr>
          <w:b/>
          <w:bCs/>
          <w:u w:val="single"/>
        </w:rPr>
      </w:pPr>
      <w:r w:rsidRPr="00143782">
        <w:rPr>
          <w:b/>
          <w:bCs/>
          <w:u w:val="single"/>
        </w:rPr>
        <w:lastRenderedPageBreak/>
        <w:t>REZULTAT POSLOVANJA</w:t>
      </w:r>
    </w:p>
    <w:p w:rsidR="00E01353" w:rsidRDefault="00E01353" w:rsidP="00E01353">
      <w:pPr>
        <w:rPr>
          <w:b/>
          <w:bCs/>
          <w:u w:val="single"/>
        </w:rPr>
      </w:pPr>
    </w:p>
    <w:p w:rsidR="00E01353" w:rsidRPr="00143782" w:rsidRDefault="00E01353" w:rsidP="00E01353">
      <w:pPr>
        <w:rPr>
          <w:bCs/>
        </w:rPr>
      </w:pPr>
      <w:r w:rsidRPr="00143782">
        <w:rPr>
          <w:bCs/>
        </w:rPr>
        <w:t>U razdoblju od 01.01.-3</w:t>
      </w:r>
      <w:r>
        <w:rPr>
          <w:bCs/>
        </w:rPr>
        <w:t>1.12</w:t>
      </w:r>
      <w:r w:rsidRPr="00143782">
        <w:rPr>
          <w:bCs/>
        </w:rPr>
        <w:t>.</w:t>
      </w:r>
      <w:r>
        <w:rPr>
          <w:bCs/>
        </w:rPr>
        <w:t>202</w:t>
      </w:r>
      <w:r w:rsidR="007F1C69">
        <w:rPr>
          <w:bCs/>
        </w:rPr>
        <w:t>2</w:t>
      </w:r>
      <w:r w:rsidRPr="00143782">
        <w:rPr>
          <w:bCs/>
        </w:rPr>
        <w:t>. godine ostvareno je sljedeće:</w:t>
      </w:r>
    </w:p>
    <w:p w:rsidR="00E01353" w:rsidRDefault="00E01353" w:rsidP="00E01353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861"/>
        <w:gridCol w:w="2620"/>
      </w:tblGrid>
      <w:tr w:rsidR="00E01353" w:rsidRPr="00A36EB2" w:rsidTr="00B4621F">
        <w:trPr>
          <w:trHeight w:val="253"/>
        </w:trPr>
        <w:tc>
          <w:tcPr>
            <w:tcW w:w="828" w:type="dxa"/>
            <w:shd w:val="clear" w:color="auto" w:fill="C2D69B"/>
            <w:vAlign w:val="center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Rbr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6510" w:type="dxa"/>
            <w:shd w:val="clear" w:color="auto" w:fill="C2D69B"/>
            <w:vAlign w:val="center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A36EB2">
              <w:rPr>
                <w:b/>
                <w:sz w:val="22"/>
              </w:rPr>
              <w:t>Naziv stavke</w:t>
            </w:r>
          </w:p>
        </w:tc>
        <w:tc>
          <w:tcPr>
            <w:tcW w:w="2761" w:type="dxa"/>
            <w:shd w:val="clear" w:color="auto" w:fill="C2D69B"/>
            <w:vAlign w:val="center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2"/>
              </w:rPr>
            </w:pPr>
            <w:r w:rsidRPr="00A36EB2">
              <w:rPr>
                <w:b/>
                <w:sz w:val="22"/>
              </w:rPr>
              <w:t>Ostvareno u izvještajnom razdoblju</w:t>
            </w:r>
          </w:p>
        </w:tc>
      </w:tr>
      <w:tr w:rsidR="00E01353" w:rsidRPr="00A36EB2" w:rsidTr="00B4621F">
        <w:tc>
          <w:tcPr>
            <w:tcW w:w="828" w:type="dxa"/>
            <w:shd w:val="clear" w:color="auto" w:fill="auto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1.</w:t>
            </w:r>
          </w:p>
        </w:tc>
        <w:tc>
          <w:tcPr>
            <w:tcW w:w="6510" w:type="dxa"/>
            <w:shd w:val="clear" w:color="auto" w:fill="auto"/>
          </w:tcPr>
          <w:p w:rsidR="00E01353" w:rsidRPr="00143782" w:rsidRDefault="00E01353" w:rsidP="00B4621F">
            <w:pPr>
              <w:suppressAutoHyphens/>
              <w:overflowPunct w:val="0"/>
              <w:autoSpaceDE w:val="0"/>
              <w:textAlignment w:val="baseline"/>
              <w:rPr>
                <w:szCs w:val="24"/>
              </w:rPr>
            </w:pPr>
            <w:r w:rsidRPr="00143782">
              <w:rPr>
                <w:bCs/>
                <w:szCs w:val="24"/>
              </w:rPr>
              <w:t xml:space="preserve">Ukupni prihodi i primici                                       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01353" w:rsidRPr="00A36EB2" w:rsidRDefault="00E851A3" w:rsidP="00B4621F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10.976.493,14</w:t>
            </w:r>
          </w:p>
        </w:tc>
      </w:tr>
      <w:tr w:rsidR="00E01353" w:rsidRPr="00A36EB2" w:rsidTr="00B4621F">
        <w:tc>
          <w:tcPr>
            <w:tcW w:w="828" w:type="dxa"/>
            <w:shd w:val="clear" w:color="auto" w:fill="auto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2.</w:t>
            </w:r>
          </w:p>
        </w:tc>
        <w:tc>
          <w:tcPr>
            <w:tcW w:w="6510" w:type="dxa"/>
            <w:shd w:val="clear" w:color="auto" w:fill="auto"/>
          </w:tcPr>
          <w:p w:rsidR="00E01353" w:rsidRPr="00143782" w:rsidRDefault="00E01353" w:rsidP="00B4621F">
            <w:pPr>
              <w:suppressAutoHyphens/>
              <w:overflowPunct w:val="0"/>
              <w:autoSpaceDE w:val="0"/>
              <w:textAlignment w:val="baseline"/>
              <w:rPr>
                <w:szCs w:val="24"/>
              </w:rPr>
            </w:pPr>
            <w:r w:rsidRPr="00143782">
              <w:rPr>
                <w:bCs/>
                <w:szCs w:val="24"/>
              </w:rPr>
              <w:t xml:space="preserve">Ukupni rashodi i izdaci                                         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01353" w:rsidRPr="00A36EB2" w:rsidRDefault="00E851A3" w:rsidP="00B4621F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10.838.743,83</w:t>
            </w:r>
          </w:p>
        </w:tc>
      </w:tr>
      <w:tr w:rsidR="00E01353" w:rsidRPr="00A36EB2" w:rsidTr="00B4621F">
        <w:tc>
          <w:tcPr>
            <w:tcW w:w="828" w:type="dxa"/>
            <w:shd w:val="clear" w:color="auto" w:fill="auto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3.</w:t>
            </w:r>
          </w:p>
        </w:tc>
        <w:tc>
          <w:tcPr>
            <w:tcW w:w="6510" w:type="dxa"/>
            <w:shd w:val="clear" w:color="auto" w:fill="auto"/>
          </w:tcPr>
          <w:p w:rsidR="00E01353" w:rsidRPr="00143782" w:rsidRDefault="00E851A3" w:rsidP="00B4621F">
            <w:pPr>
              <w:suppressAutoHyphens/>
              <w:overflowPunct w:val="0"/>
              <w:autoSpaceDE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Višak</w:t>
            </w:r>
            <w:r w:rsidR="00E01353" w:rsidRPr="00143782">
              <w:rPr>
                <w:szCs w:val="24"/>
              </w:rPr>
              <w:t xml:space="preserve"> prihoda i primitaka – preneseni</w:t>
            </w:r>
            <w:r w:rsidR="00E01353">
              <w:rPr>
                <w:szCs w:val="24"/>
              </w:rPr>
              <w:t xml:space="preserve"> 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01353" w:rsidRPr="00A36EB2" w:rsidRDefault="00E851A3" w:rsidP="00B4621F">
            <w:pPr>
              <w:suppressAutoHyphens/>
              <w:overflowPunct w:val="0"/>
              <w:autoSpaceDE w:val="0"/>
              <w:jc w:val="right"/>
              <w:textAlignment w:val="baseline"/>
            </w:pPr>
            <w:r>
              <w:t>2.495.029,98</w:t>
            </w:r>
          </w:p>
        </w:tc>
      </w:tr>
      <w:tr w:rsidR="00E01353" w:rsidRPr="00A36EB2" w:rsidTr="00B4621F">
        <w:tc>
          <w:tcPr>
            <w:tcW w:w="828" w:type="dxa"/>
            <w:shd w:val="clear" w:color="auto" w:fill="D6E3BC"/>
          </w:tcPr>
          <w:p w:rsidR="00E01353" w:rsidRPr="00A36EB2" w:rsidRDefault="00E01353" w:rsidP="00B4621F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4.</w:t>
            </w:r>
          </w:p>
        </w:tc>
        <w:tc>
          <w:tcPr>
            <w:tcW w:w="6510" w:type="dxa"/>
            <w:shd w:val="clear" w:color="auto" w:fill="D6E3BC"/>
          </w:tcPr>
          <w:p w:rsidR="00E01353" w:rsidRPr="00143782" w:rsidRDefault="00E01353" w:rsidP="00B4621F">
            <w:pPr>
              <w:suppressAutoHyphens/>
              <w:overflowPunct w:val="0"/>
              <w:autoSpaceDE w:val="0"/>
              <w:textAlignment w:val="baseline"/>
              <w:rPr>
                <w:b/>
                <w:szCs w:val="24"/>
              </w:rPr>
            </w:pPr>
            <w:r w:rsidRPr="00143782">
              <w:rPr>
                <w:b/>
                <w:szCs w:val="24"/>
              </w:rPr>
              <w:t>Ukupno</w:t>
            </w:r>
            <w:r>
              <w:rPr>
                <w:b/>
                <w:szCs w:val="24"/>
              </w:rPr>
              <w:t xml:space="preserve"> (višak)</w:t>
            </w:r>
            <w:r w:rsidRPr="00143782">
              <w:rPr>
                <w:b/>
                <w:szCs w:val="24"/>
              </w:rPr>
              <w:t>: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01353" w:rsidRPr="00143782" w:rsidRDefault="00E851A3" w:rsidP="00B4621F">
            <w:pPr>
              <w:suppressAutoHyphens/>
              <w:overflowPunct w:val="0"/>
              <w:autoSpaceDE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2.632.779,29</w:t>
            </w:r>
          </w:p>
        </w:tc>
      </w:tr>
    </w:tbl>
    <w:p w:rsidR="00E01353" w:rsidRDefault="00E01353" w:rsidP="00E01353">
      <w:pPr>
        <w:rPr>
          <w:b/>
          <w:bCs/>
          <w:u w:val="single"/>
        </w:rPr>
      </w:pPr>
    </w:p>
    <w:p w:rsidR="00E01353" w:rsidRDefault="00E01353" w:rsidP="00FB655E"/>
    <w:p w:rsidR="00E01353" w:rsidRDefault="00E01353" w:rsidP="00FB655E"/>
    <w:p w:rsidR="000403DF" w:rsidRDefault="000403DF" w:rsidP="000403D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112395</wp:posOffset>
                </wp:positionV>
                <wp:extent cx="6269355" cy="0"/>
                <wp:effectExtent l="6350" t="13335" r="10795" b="5715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6" o:spid="_x0000_s1026" type="#_x0000_t32" style="position:absolute;margin-left:-2.85pt;margin-top:8.85pt;width:493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"/>
            </w:pict>
          </mc:Fallback>
        </mc:AlternateContent>
      </w:r>
    </w:p>
    <w:p w:rsidR="00BF26CD" w:rsidRDefault="00BF26CD" w:rsidP="000403DF">
      <w:pPr>
        <w:rPr>
          <w:b/>
        </w:rPr>
      </w:pPr>
    </w:p>
    <w:p w:rsidR="000403DF" w:rsidRDefault="000403DF" w:rsidP="000403DF">
      <w:pPr>
        <w:rPr>
          <w:b/>
        </w:rPr>
      </w:pPr>
      <w:r w:rsidRPr="00E9696F">
        <w:rPr>
          <w:b/>
        </w:rPr>
        <w:t xml:space="preserve">Bilješke uz obrazac </w:t>
      </w:r>
      <w:r>
        <w:rPr>
          <w:b/>
        </w:rPr>
        <w:t>o promjenama u vrijednosti i obujmu imovine i obveza (P-VRIO)</w:t>
      </w:r>
    </w:p>
    <w:p w:rsidR="000403DF" w:rsidRPr="00E9696F" w:rsidRDefault="000403DF" w:rsidP="000403DF">
      <w:pPr>
        <w:rPr>
          <w:b/>
        </w:rPr>
      </w:pPr>
    </w:p>
    <w:p w:rsidR="000403DF" w:rsidRDefault="000403DF" w:rsidP="000403DF">
      <w:r>
        <w:t>Promjene u vrijednosti i obujmu imovine i obveza evidentiraju se kao poslovni događaji koji mijenjaju vrijednosti ili obujam imovine ili obveza, a da se pri tome ne iskazuju prihodi ili rashodi niti primici ili izdaci. Sve takve promjene povećanja ili smanjenja obujma ili vrijednosti imovine i obveza iskazuju se u obrascu P-VRIO. S obzirom na to da u izvještajnom razdoblju 202</w:t>
      </w:r>
      <w:r w:rsidR="00AD770E">
        <w:t>2</w:t>
      </w:r>
      <w:r>
        <w:t xml:space="preserve">. godine nije bilo takvih promjena, navedeni obrazac iskazan je s vrijednostima nula. </w:t>
      </w:r>
    </w:p>
    <w:p w:rsidR="000403DF" w:rsidRPr="006E4852" w:rsidRDefault="000403DF" w:rsidP="000403DF">
      <w:pPr>
        <w:rPr>
          <w:sz w:val="20"/>
        </w:rPr>
      </w:pPr>
    </w:p>
    <w:p w:rsidR="000403DF" w:rsidRDefault="000403DF" w:rsidP="000403D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112395</wp:posOffset>
                </wp:positionV>
                <wp:extent cx="6269355" cy="0"/>
                <wp:effectExtent l="6350" t="13335" r="10795" b="5715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-2.85pt;margin-top:8.85pt;width:493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"/>
            </w:pict>
          </mc:Fallback>
        </mc:AlternateContent>
      </w:r>
    </w:p>
    <w:p w:rsidR="000403DF" w:rsidRPr="006E4852" w:rsidRDefault="000403DF" w:rsidP="000403DF">
      <w:pPr>
        <w:rPr>
          <w:b/>
          <w:sz w:val="20"/>
        </w:rPr>
      </w:pPr>
    </w:p>
    <w:p w:rsidR="000403DF" w:rsidRDefault="000403DF" w:rsidP="000403DF">
      <w:pPr>
        <w:rPr>
          <w:b/>
        </w:rPr>
      </w:pPr>
      <w:r w:rsidRPr="00E9696F">
        <w:rPr>
          <w:b/>
        </w:rPr>
        <w:t xml:space="preserve">Bilješke uz obrazac </w:t>
      </w:r>
      <w:r>
        <w:rPr>
          <w:b/>
        </w:rPr>
        <w:t>o rashodima prema funkcijskoj klasifikaciji (RAS-funkcijski)</w:t>
      </w:r>
    </w:p>
    <w:p w:rsidR="000403DF" w:rsidRDefault="000403DF" w:rsidP="000403DF">
      <w:pPr>
        <w:rPr>
          <w:b/>
        </w:rPr>
      </w:pPr>
    </w:p>
    <w:p w:rsidR="008D02E8" w:rsidRPr="008D02E8" w:rsidRDefault="009609F3" w:rsidP="008D02E8">
      <w:r>
        <w:t xml:space="preserve">Funkcijska klasifikacija sadrži rashode razvrstane prema njihovoj namjeni. Prema funkcijskoj klasifikaciji razvrstavaju se rashodi poslovanja razreda 3 i rashodi za nabavu nefinancijske imovine razreda 4. </w:t>
      </w:r>
      <w:r w:rsidR="008D02E8">
        <w:t>F</w:t>
      </w:r>
      <w:r w:rsidR="008D02E8" w:rsidRPr="008D02E8">
        <w:t xml:space="preserve">unkcijska klasifikacija pokazuje aktivnosti jedinice lokalne samouprave organizirane i razvrstane prema ulaganjima sredstava u djelatnosti: opće javne usluge, obranu javni red i sigurnost, ekonomske poslove, zaštitu okoliša, usluge unapređenja stanovanja i zajednice, rekreaciju, te kulturnu i religijsku djelatnost, obrazovanje i socijalnu zaštitu. </w:t>
      </w:r>
    </w:p>
    <w:p w:rsidR="008D02E8" w:rsidRDefault="008D02E8" w:rsidP="008D02E8">
      <w:pPr>
        <w:pStyle w:val="Sadraj"/>
      </w:pPr>
    </w:p>
    <w:p w:rsidR="008D02E8" w:rsidRDefault="00CD7BF8" w:rsidP="00CD7BF8">
      <w:r>
        <w:rPr>
          <w:b/>
          <w:bCs/>
        </w:rPr>
        <w:t>01-</w:t>
      </w:r>
      <w:r w:rsidR="008D02E8" w:rsidRPr="00C40B47">
        <w:rPr>
          <w:b/>
          <w:bCs/>
        </w:rPr>
        <w:t>Opće javne uslug</w:t>
      </w:r>
      <w:r w:rsidR="008D02E8">
        <w:t xml:space="preserve">e </w:t>
      </w:r>
      <w:r w:rsidR="001B2A2E">
        <w:t>ostvarene su</w:t>
      </w:r>
      <w:r w:rsidR="008D02E8">
        <w:t xml:space="preserve"> u iznosu od </w:t>
      </w:r>
      <w:r w:rsidR="001B2A2E">
        <w:t>2.531.601,10 kn, a</w:t>
      </w:r>
      <w:r w:rsidR="008D02E8">
        <w:t xml:space="preserve"> obuhvaćaju rashode ureda načelnika, rashode za osoblje u uredima, rashode pomoćnih službi za potrebe izvršnih tijela te rashode jedinstvenog upravnog odjela. Financijs</w:t>
      </w:r>
      <w:r w:rsidR="001B2A2E">
        <w:t>ki i fiskalni poslovi proračuna</w:t>
      </w:r>
      <w:r w:rsidR="008D02E8">
        <w:t xml:space="preserve"> te proračunskog korisnika, također su obuhvaćeni ovom funkcijom, a odnose se na upravljanja financijskim i fiskalnim poslovima i organizacijskim jedinicama,  vođenja porezne politike i sl. Opće usluge odnose se na rashode organizacijskih jedinica koje nisu povezane s nekom specifičnom funkcijom; razvoj i provedba općih kadrovskih politika, cjelokupno ekonomsko, socijalno planiranje i statistika, rashodi za nabavljanje i opskrbljivanje, informatičke službe i službe za obradu podataka i slično.</w:t>
      </w:r>
    </w:p>
    <w:p w:rsidR="006E4852" w:rsidRDefault="006E4852" w:rsidP="001B2A2E">
      <w:pPr>
        <w:rPr>
          <w:b/>
          <w:bCs/>
        </w:rPr>
      </w:pPr>
    </w:p>
    <w:p w:rsidR="008D02E8" w:rsidRDefault="001B2A2E" w:rsidP="001B2A2E">
      <w:r>
        <w:rPr>
          <w:b/>
          <w:bCs/>
        </w:rPr>
        <w:t>02-</w:t>
      </w:r>
      <w:r w:rsidR="008D02E8" w:rsidRPr="00C40B47">
        <w:rPr>
          <w:b/>
          <w:bCs/>
        </w:rPr>
        <w:t>Obrana</w:t>
      </w:r>
      <w:r w:rsidR="008D02E8">
        <w:t xml:space="preserve"> </w:t>
      </w:r>
      <w:r>
        <w:t>ostvarena je</w:t>
      </w:r>
      <w:r w:rsidR="008D02E8">
        <w:t xml:space="preserve"> u iznosu </w:t>
      </w:r>
      <w:r>
        <w:t>10.000,00 kn, a</w:t>
      </w:r>
      <w:r w:rsidR="008D02E8">
        <w:t xml:space="preserve"> obuhvaća civilnu obranu koja uključuje rashode civilne obrane i organiziranja vježbi u kojima sudjeluju civilne institucije i građani (HGSS).</w:t>
      </w:r>
    </w:p>
    <w:p w:rsidR="008D02E8" w:rsidRDefault="001B2A2E" w:rsidP="001B2A2E">
      <w:r>
        <w:rPr>
          <w:b/>
        </w:rPr>
        <w:lastRenderedPageBreak/>
        <w:t>03-</w:t>
      </w:r>
      <w:r w:rsidR="008D02E8" w:rsidRPr="001B2A2E">
        <w:rPr>
          <w:b/>
        </w:rPr>
        <w:t>Javni red i sigurnost</w:t>
      </w:r>
      <w:r w:rsidR="008D02E8">
        <w:t xml:space="preserve"> </w:t>
      </w:r>
      <w:r>
        <w:t xml:space="preserve">ostvaren je </w:t>
      </w:r>
      <w:r w:rsidR="008D02E8">
        <w:t xml:space="preserve">u iznosu </w:t>
      </w:r>
      <w:r>
        <w:t>232.904,53 kn, a</w:t>
      </w:r>
      <w:r w:rsidR="008D02E8">
        <w:t xml:space="preserve"> obuhvaća usluge protupožarne zaštite u koje se klasificiraju rashodi funkcioniranja javnih vatrogasnih postrojbi, dobrovoljnih vatrogasnih društava i ostalih ustanova za zaštitu od požara te rashodi za obuku i prevenciju od požara. Uključuju se i rashodi službi civilne zaštite,</w:t>
      </w:r>
    </w:p>
    <w:p w:rsidR="008D02E8" w:rsidRDefault="008D02E8" w:rsidP="008D02E8">
      <w:pPr>
        <w:pStyle w:val="Sadraj"/>
      </w:pPr>
    </w:p>
    <w:p w:rsidR="008D02E8" w:rsidRDefault="001B2A2E" w:rsidP="001B2A2E">
      <w:r>
        <w:rPr>
          <w:b/>
          <w:bCs/>
        </w:rPr>
        <w:t>04-</w:t>
      </w:r>
      <w:r w:rsidR="008D02E8" w:rsidRPr="00C40B47">
        <w:rPr>
          <w:b/>
          <w:bCs/>
        </w:rPr>
        <w:t>Ekonomski poslovi</w:t>
      </w:r>
      <w:r w:rsidR="008D02E8">
        <w:t xml:space="preserve"> </w:t>
      </w:r>
      <w:r w:rsidR="00A023DC">
        <w:t>ostvareni</w:t>
      </w:r>
      <w:r w:rsidR="008D02E8">
        <w:t xml:space="preserve"> su u iznosu </w:t>
      </w:r>
      <w:r w:rsidR="00A023DC">
        <w:t xml:space="preserve">3.357.306,48 kn. </w:t>
      </w:r>
      <w:r w:rsidR="008D02E8" w:rsidRPr="00653CC1">
        <w:t xml:space="preserve">Od </w:t>
      </w:r>
      <w:r w:rsidR="008D02E8">
        <w:t xml:space="preserve">toga, opći ekonomski, trgovački i poslovi vezani uz rad </w:t>
      </w:r>
      <w:r w:rsidR="00653CC1">
        <w:t>ostvareni</w:t>
      </w:r>
      <w:r w:rsidR="008D02E8">
        <w:t xml:space="preserve"> su u iznosu od </w:t>
      </w:r>
      <w:r w:rsidR="00653CC1">
        <w:t>123.764,43 kn</w:t>
      </w:r>
      <w:r w:rsidR="008D02E8">
        <w:t xml:space="preserve">, a obuhvaćaju rashode funkcioniranja općih službi vezanih uz razvoj radnog zakonodavstva, rashodi nadzora i utvrđivanja uvjeta rada, programa i planova za smanjivanje stope nezaposlenosti, poticanja zapošljavanja određene skupine ljudi i slično. Rashodi za </w:t>
      </w:r>
      <w:r w:rsidR="00653CC1">
        <w:t>p</w:t>
      </w:r>
      <w:r w:rsidR="008D02E8">
        <w:t xml:space="preserve">oljoprivredu, šumarstvo, ribolov i lov </w:t>
      </w:r>
      <w:r w:rsidR="00653CC1">
        <w:t>ostvareni</w:t>
      </w:r>
      <w:r w:rsidR="008D02E8">
        <w:t xml:space="preserve"> su u iznosu </w:t>
      </w:r>
      <w:r w:rsidR="00653CC1">
        <w:t>151.551,01 kn,</w:t>
      </w:r>
      <w:r w:rsidR="008D02E8">
        <w:t xml:space="preserve"> a uključuju rashode praćenja i funkcioniranja poljoprivredne djelatnosti te subvencije poljoprivrednicima. U ovu podskupinu klasificiraju se i rashodi službi koje se bave kontrolom štetočina i usjeva, sufinanciranje kontrole i upravljanja nad komercijalnim i sportskim lovom</w:t>
      </w:r>
      <w:r w:rsidR="00653CC1">
        <w:t>.</w:t>
      </w:r>
      <w:r w:rsidR="008D02E8">
        <w:t xml:space="preserve"> Gorivo i energija </w:t>
      </w:r>
      <w:r w:rsidR="00653CC1">
        <w:t>ostvareni</w:t>
      </w:r>
      <w:r w:rsidR="008D02E8">
        <w:t xml:space="preserve"> su u iznosu </w:t>
      </w:r>
      <w:r w:rsidR="00653CC1">
        <w:t>245.695,33 kn,</w:t>
      </w:r>
      <w:r w:rsidR="008D02E8">
        <w:t xml:space="preserve"> a obuhvaća rashode nafte i zemnog plina te rashodi prijenosa i distribucije električne energije.</w:t>
      </w:r>
      <w:r w:rsidR="00653CC1">
        <w:t xml:space="preserve"> </w:t>
      </w:r>
      <w:r w:rsidR="008D02E8">
        <w:t xml:space="preserve">Promet je </w:t>
      </w:r>
      <w:r w:rsidR="00653CC1">
        <w:t>ostvaren</w:t>
      </w:r>
      <w:r w:rsidR="008D02E8">
        <w:t xml:space="preserve"> u iznosu </w:t>
      </w:r>
      <w:r w:rsidR="00653CC1">
        <w:t>2.720.364,36 kn</w:t>
      </w:r>
      <w:r w:rsidR="008D02E8">
        <w:t xml:space="preserve">, a obuhvaća rashode funkcioniranja, korištenja, izgradnje i održavanja sustava i objekata cestovnog prometa (ceste, mostovi, parkirališta, pješačke staze i slično)  te cjevovoda i ostalih prometnih sustava. Ostale industrije </w:t>
      </w:r>
      <w:r w:rsidR="00653CC1">
        <w:t>ostvarene</w:t>
      </w:r>
      <w:r w:rsidR="008D02E8">
        <w:t xml:space="preserve"> su u iznosu </w:t>
      </w:r>
      <w:r w:rsidR="00653CC1">
        <w:t>115.931,35 kn, a u njih se</w:t>
      </w:r>
      <w:r w:rsidR="008D02E8">
        <w:t xml:space="preserve"> uključuje sufinanciranje</w:t>
      </w:r>
      <w:r w:rsidR="00653CC1">
        <w:t xml:space="preserve"> </w:t>
      </w:r>
      <w:r w:rsidR="008D02E8">
        <w:t>turističke djelatnosti, rashodi turističkih zajednica i ureda, promotivnih kampanja te promicanja i razvoja turizma.</w:t>
      </w:r>
    </w:p>
    <w:p w:rsidR="008D02E8" w:rsidRDefault="008D02E8" w:rsidP="008D02E8">
      <w:pPr>
        <w:pStyle w:val="Sadraj"/>
      </w:pPr>
    </w:p>
    <w:p w:rsidR="008D02E8" w:rsidRDefault="00653CC1" w:rsidP="00653CC1">
      <w:r>
        <w:rPr>
          <w:b/>
          <w:bCs/>
        </w:rPr>
        <w:t>05-</w:t>
      </w:r>
      <w:r w:rsidR="008D02E8" w:rsidRPr="00C40B47">
        <w:rPr>
          <w:b/>
          <w:bCs/>
        </w:rPr>
        <w:t>Zaštita okoliša</w:t>
      </w:r>
      <w:r w:rsidR="008D02E8">
        <w:t xml:space="preserve"> </w:t>
      </w:r>
      <w:r>
        <w:t>ostvarena</w:t>
      </w:r>
      <w:r w:rsidR="008D02E8">
        <w:t xml:space="preserve"> je u iznosu </w:t>
      </w:r>
      <w:r>
        <w:t>153.689,04 kn</w:t>
      </w:r>
      <w:r w:rsidR="008D02E8">
        <w:t>, a odnosi se na rashode upravljanja otpadnim vodama koje obuhvaća pročišćavanje otpadnih voda te funkcioniranje kanalizacijskog sustava koje uključuje izgradnju i obnovu sustava kolektora, cjevovoda, kanala i pumpi za odvodnju otpadnih voda iz domaćinstava i drugih izvora. Ova funkcija obuhvaća i rekonstrukciju ili izgradnja kanalizacijskog sustava. Poslove i usluge zaštite okoliša koji nisu drugdje klasificirani poput poslova pripreme i provedbe zakona i standarda u svezi s pružanjem usluga i obavljanjem poslova zaštite okoliša, poslova definiranja strategije, planova i ciljeva zaštite okoliša i slično.</w:t>
      </w:r>
    </w:p>
    <w:p w:rsidR="008D02E8" w:rsidRDefault="008D02E8" w:rsidP="008D02E8">
      <w:pPr>
        <w:pStyle w:val="Sadraj"/>
      </w:pPr>
    </w:p>
    <w:p w:rsidR="008D02E8" w:rsidRPr="00653CC1" w:rsidRDefault="00653CC1" w:rsidP="00653CC1">
      <w:r>
        <w:rPr>
          <w:b/>
          <w:bCs/>
        </w:rPr>
        <w:t>06-</w:t>
      </w:r>
      <w:r w:rsidR="008D02E8" w:rsidRPr="00653CC1">
        <w:rPr>
          <w:b/>
          <w:bCs/>
        </w:rPr>
        <w:t>Usluge unaprijeđena stanovanja i zajednice</w:t>
      </w:r>
      <w:r w:rsidR="008D02E8" w:rsidRPr="00653CC1">
        <w:t xml:space="preserve"> </w:t>
      </w:r>
      <w:r>
        <w:t>ostvareni</w:t>
      </w:r>
      <w:r w:rsidR="008D02E8" w:rsidRPr="00653CC1">
        <w:t xml:space="preserve"> su u iznosu </w:t>
      </w:r>
      <w:r>
        <w:t>1.716.468,63 kn</w:t>
      </w:r>
      <w:r w:rsidR="008D02E8" w:rsidRPr="00653CC1">
        <w:t>, a obuhvaća razvoj zajednice koja uključuje rashode provedbe zakona o prostornom planiranju i korištenju zemljišta te propisa o izgradnji kao i planove rekonstrukcije stambenih, komunalnih, zdravstvenih, kulturnih, prosvjetnih, odgojnih, rekreacijskih i drugih građevinskih objekata zajednice. Također, ova funkcija obuhvaća i rashode opskrbe vodom te javnu rasvjetu koja obuhvaća upravljanje poslovima javne rasvjete te rashode za postavljanje, održavanje i općenito funkcioniranje javne rasvjete. Osim navedenog obuhvaća i rashode vezane za stanovanje i komunalne pogodnosti koji nisu drugdje klasificirani.</w:t>
      </w:r>
    </w:p>
    <w:p w:rsidR="008D02E8" w:rsidRDefault="008D02E8" w:rsidP="008D02E8">
      <w:pPr>
        <w:pStyle w:val="Sadraj"/>
      </w:pPr>
    </w:p>
    <w:p w:rsidR="008D02E8" w:rsidRDefault="00653CC1" w:rsidP="00653CC1">
      <w:r>
        <w:rPr>
          <w:b/>
          <w:bCs/>
        </w:rPr>
        <w:t>08-</w:t>
      </w:r>
      <w:r w:rsidR="008D02E8" w:rsidRPr="00374606">
        <w:rPr>
          <w:b/>
          <w:bCs/>
        </w:rPr>
        <w:t>Rekreacija, kultura i religija</w:t>
      </w:r>
      <w:r w:rsidR="008D02E8">
        <w:t xml:space="preserve"> </w:t>
      </w:r>
      <w:r>
        <w:t>ostvareni</w:t>
      </w:r>
      <w:r w:rsidR="008D02E8">
        <w:t xml:space="preserve"> su u iznosu </w:t>
      </w:r>
      <w:r>
        <w:t>595.013,31 kn</w:t>
      </w:r>
      <w:r w:rsidR="008D02E8">
        <w:t xml:space="preserve">, a obuhvaća službe rekreacije i sporta koje uključuju rashode pružanja sportskih i rekreacijskih usluga te nadzora i funkcioniranja sportskih i rekreacijskih objekata, Uključuju se i rashodi za objekte za smještaj gledatelja te subvencije za podršku timovima ili individualnim natjecateljima. Službe kulture obuhvaćaju rashode funkcioniranja ili podrške funkcioniranju ustanovama koje pružaju kulturne usluge, kao i rashode proizvodnje, funkcioniranja ili podrške funkcioniranju kulturnih događaja – koncerti, predstave, festivali i slično. Obuhvaćaju se i nacionalne, </w:t>
      </w:r>
      <w:r w:rsidR="008D02E8">
        <w:lastRenderedPageBreak/>
        <w:t>regionalne i lokalne proslave koje nisu namijenjene isključivo privlačenju turista. Religijske i druge službe zajednice uključuju rashode za funkcioniranje, održavanje i popravak objekata za religijske i druge službe zajednice, donacije vjerskim zajednicama, političkim strankama i sl. Rashodi za rekreaciju, kulturu i religiju koji nisu drugdje svrstani kao npr. priprema i provedba zakona i standarda za pružanje rekreacijskih i kulturnih usluga, upravljanje i praćenje programa i planova za promociju sporta, kulture i religije i slično.</w:t>
      </w:r>
    </w:p>
    <w:p w:rsidR="008D02E8" w:rsidRDefault="008D02E8" w:rsidP="008D02E8">
      <w:pPr>
        <w:pStyle w:val="Sadraj"/>
      </w:pPr>
    </w:p>
    <w:p w:rsidR="008D02E8" w:rsidRDefault="00653CC1" w:rsidP="00653CC1">
      <w:r>
        <w:rPr>
          <w:b/>
          <w:bCs/>
        </w:rPr>
        <w:t>09-</w:t>
      </w:r>
      <w:r w:rsidR="008D02E8" w:rsidRPr="0053219B">
        <w:rPr>
          <w:b/>
          <w:bCs/>
        </w:rPr>
        <w:t>Obrazovanje</w:t>
      </w:r>
      <w:r w:rsidR="008D02E8">
        <w:t xml:space="preserve"> je </w:t>
      </w:r>
      <w:r>
        <w:t>ostvareno</w:t>
      </w:r>
      <w:r w:rsidR="008D02E8">
        <w:t xml:space="preserve"> u iznosu </w:t>
      </w:r>
      <w:r>
        <w:t>448.850,66 kn</w:t>
      </w:r>
      <w:r w:rsidR="008D02E8">
        <w:t xml:space="preserve">, a odnosi se na predškolsko i osnovno obrazovanje, srednjoškolsko obrazovanje te dodatne usluge u obrazovanju, koje obuhvaćaju rashode prijevoza, hrane,smještaja te ostale rashode sličnih dopunskih usluga namijenjenih prvenstveno za učenike odnosno korisnike usluga obrazovanja. </w:t>
      </w:r>
    </w:p>
    <w:p w:rsidR="008D02E8" w:rsidRDefault="008D02E8" w:rsidP="008D02E8">
      <w:pPr>
        <w:pStyle w:val="Sadraj"/>
      </w:pPr>
    </w:p>
    <w:p w:rsidR="008D02E8" w:rsidRPr="00653CC1" w:rsidRDefault="00653CC1" w:rsidP="00653CC1">
      <w:r>
        <w:rPr>
          <w:b/>
          <w:bCs/>
        </w:rPr>
        <w:t>10-</w:t>
      </w:r>
      <w:r w:rsidR="008D02E8" w:rsidRPr="00653CC1">
        <w:rPr>
          <w:b/>
          <w:bCs/>
        </w:rPr>
        <w:t>Socijalna zaštita</w:t>
      </w:r>
      <w:r w:rsidR="008D02E8" w:rsidRPr="00653CC1">
        <w:t xml:space="preserve"> </w:t>
      </w:r>
      <w:r>
        <w:t>ostvarena</w:t>
      </w:r>
      <w:r w:rsidR="008D02E8" w:rsidRPr="00653CC1">
        <w:t xml:space="preserve"> je u iznosu </w:t>
      </w:r>
      <w:r>
        <w:t>486.720,15 kn</w:t>
      </w:r>
      <w:r w:rsidR="008D02E8" w:rsidRPr="00653CC1">
        <w:t>, a odnosi se na funkciju starost, koja obuhvaća novčane naknade i naknade u naravi starijim Funkcija obitelj i djeca odnosi se na pružanje pomoći domaćinstvima s maloljetnom djecom, porodiljske naknade, oprema za novorođenčad, smještaj i hrana tijekom cijelog dana za djecu predškolskog uzrasta. Stanovanje obuhvaća pomoći domaćinstvima za pokrivanje troškova stanovanja (sufinanciranje stanarine i slično). Socijalna pomoć stanovništvu koje nije obuhvaćeno redovnim socijalnim programima obuhvaća pomoći (novčane ili u naturi) osobama s niskim primanjima. Aktivnosti socijalne zaštite koje nisu drugdje svrstane obuhvaćaju pripreme i provedbu zakona i standarda u svezi s pružanjem socijalne zaštite, formuliranje i upravljanje programima, planovima i ciljevima socijalne zaštite i slično. U ovu podskupinu uključuje se pružanje socijalne zaštite, bilo u novcu ili naravi, žrtvama prirodnih katastrofa.</w:t>
      </w:r>
    </w:p>
    <w:p w:rsidR="005F6E24" w:rsidRPr="005F6E24" w:rsidRDefault="005F6E24" w:rsidP="005F6E24"/>
    <w:p w:rsidR="000403DF" w:rsidRDefault="000403DF" w:rsidP="000403D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112395</wp:posOffset>
                </wp:positionV>
                <wp:extent cx="6269355" cy="0"/>
                <wp:effectExtent l="6350" t="13335" r="10795" b="5715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8" o:spid="_x0000_s1026" type="#_x0000_t32" style="position:absolute;margin-left:-2.85pt;margin-top:8.85pt;width:493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"/>
            </w:pict>
          </mc:Fallback>
        </mc:AlternateContent>
      </w:r>
    </w:p>
    <w:p w:rsidR="000403DF" w:rsidRDefault="000403DF" w:rsidP="000403DF">
      <w:pPr>
        <w:rPr>
          <w:b/>
        </w:rPr>
      </w:pPr>
    </w:p>
    <w:p w:rsidR="000403DF" w:rsidRPr="00E9696F" w:rsidRDefault="000403DF" w:rsidP="000403DF">
      <w:pPr>
        <w:rPr>
          <w:b/>
        </w:rPr>
      </w:pPr>
      <w:r w:rsidRPr="00E9696F">
        <w:rPr>
          <w:b/>
        </w:rPr>
        <w:t xml:space="preserve">Bilješke uz obrazac </w:t>
      </w:r>
      <w:r w:rsidR="00AF5039">
        <w:rPr>
          <w:b/>
        </w:rPr>
        <w:t>o obvezama (</w:t>
      </w:r>
      <w:r w:rsidRPr="00E9696F">
        <w:rPr>
          <w:b/>
        </w:rPr>
        <w:t>OBVEZE</w:t>
      </w:r>
      <w:r w:rsidR="00AF5039">
        <w:rPr>
          <w:b/>
        </w:rPr>
        <w:t>)</w:t>
      </w:r>
    </w:p>
    <w:p w:rsidR="000403DF" w:rsidRDefault="000403DF" w:rsidP="000403DF"/>
    <w:p w:rsidR="000403DF" w:rsidRDefault="006E4852" w:rsidP="000403DF">
      <w:pPr>
        <w:rPr>
          <w:bCs/>
        </w:rPr>
      </w:pPr>
      <w:r>
        <w:t>V006</w:t>
      </w:r>
      <w:r w:rsidR="000403DF" w:rsidRPr="00AF5039">
        <w:t xml:space="preserve"> – Stanje obveza na dan 3</w:t>
      </w:r>
      <w:r w:rsidR="00AF5039">
        <w:t>1</w:t>
      </w:r>
      <w:r w:rsidR="000403DF" w:rsidRPr="00AF5039">
        <w:t>.</w:t>
      </w:r>
      <w:r w:rsidR="00AF5039">
        <w:t>12</w:t>
      </w:r>
      <w:r w:rsidR="000403DF" w:rsidRPr="00AF5039">
        <w:t>.202</w:t>
      </w:r>
      <w:r>
        <w:t>2</w:t>
      </w:r>
      <w:r w:rsidR="000403DF" w:rsidRPr="00AF5039">
        <w:t xml:space="preserve"> godine</w:t>
      </w:r>
      <w:r w:rsidR="000403DF">
        <w:t xml:space="preserve"> iznosi </w:t>
      </w:r>
      <w:r>
        <w:rPr>
          <w:bCs/>
        </w:rPr>
        <w:t>726.278,05</w:t>
      </w:r>
      <w:r w:rsidR="000403DF">
        <w:rPr>
          <w:bCs/>
        </w:rPr>
        <w:t xml:space="preserve"> kn. </w:t>
      </w:r>
    </w:p>
    <w:p w:rsidR="00AF5039" w:rsidRDefault="00AF5039" w:rsidP="000403DF">
      <w:pPr>
        <w:rPr>
          <w:bCs/>
        </w:rPr>
      </w:pPr>
    </w:p>
    <w:p w:rsidR="000403DF" w:rsidRDefault="000403DF" w:rsidP="000403DF">
      <w:pPr>
        <w:numPr>
          <w:ilvl w:val="0"/>
          <w:numId w:val="15"/>
        </w:numPr>
        <w:rPr>
          <w:bCs/>
        </w:rPr>
      </w:pPr>
      <w:r>
        <w:rPr>
          <w:bCs/>
        </w:rPr>
        <w:t>Dospjele obv</w:t>
      </w:r>
      <w:r w:rsidR="00AF5039">
        <w:rPr>
          <w:bCs/>
        </w:rPr>
        <w:t>eze za materijalne rashode (</w:t>
      </w:r>
      <w:r w:rsidR="000671ED">
        <w:rPr>
          <w:bCs/>
        </w:rPr>
        <w:t>D232</w:t>
      </w:r>
      <w:r>
        <w:rPr>
          <w:bCs/>
        </w:rPr>
        <w:t xml:space="preserve">) </w:t>
      </w:r>
      <w:r w:rsidR="00AF5039">
        <w:rPr>
          <w:bCs/>
        </w:rPr>
        <w:t>iznose</w:t>
      </w:r>
      <w:r>
        <w:rPr>
          <w:bCs/>
        </w:rPr>
        <w:t xml:space="preserve"> </w:t>
      </w:r>
      <w:r w:rsidR="000671ED">
        <w:rPr>
          <w:bCs/>
        </w:rPr>
        <w:t>302,00</w:t>
      </w:r>
      <w:r>
        <w:rPr>
          <w:bCs/>
        </w:rPr>
        <w:t xml:space="preserve"> kn</w:t>
      </w:r>
      <w:r w:rsidR="000671ED">
        <w:rPr>
          <w:bCs/>
        </w:rPr>
        <w:t>, a odnose se na račun reprezentacije koji je dostavljen izvan datuma valute plaćanja</w:t>
      </w:r>
      <w:r w:rsidR="00AD5652">
        <w:rPr>
          <w:bCs/>
        </w:rPr>
        <w:t>.</w:t>
      </w:r>
    </w:p>
    <w:p w:rsidR="000403DF" w:rsidRDefault="000403DF" w:rsidP="000403DF">
      <w:pPr>
        <w:numPr>
          <w:ilvl w:val="0"/>
          <w:numId w:val="15"/>
        </w:numPr>
        <w:rPr>
          <w:bCs/>
        </w:rPr>
      </w:pPr>
      <w:r>
        <w:t>Nedospjele obveze na kr</w:t>
      </w:r>
      <w:r w:rsidR="00AF5039">
        <w:t>aju izvještajnog razdoblja (</w:t>
      </w:r>
      <w:r w:rsidR="000671ED">
        <w:t>V009</w:t>
      </w:r>
      <w:r w:rsidR="00AF5039">
        <w:t>)</w:t>
      </w:r>
      <w:r>
        <w:t xml:space="preserve"> iznos</w:t>
      </w:r>
      <w:r w:rsidR="00AF5039">
        <w:t>e</w:t>
      </w:r>
      <w:r>
        <w:t xml:space="preserve"> </w:t>
      </w:r>
      <w:r w:rsidR="000671ED">
        <w:t>725.976,05</w:t>
      </w:r>
      <w:r>
        <w:t xml:space="preserve"> kn</w:t>
      </w:r>
      <w:r w:rsidR="00AF5039">
        <w:t>, a odnose se na:</w:t>
      </w:r>
    </w:p>
    <w:p w:rsidR="000403DF" w:rsidRDefault="000403DF" w:rsidP="000403DF">
      <w:pPr>
        <w:numPr>
          <w:ilvl w:val="1"/>
          <w:numId w:val="15"/>
        </w:numPr>
      </w:pPr>
      <w:r>
        <w:t>Obveza za plaće djelatnika Općine Veliko Trojstvo</w:t>
      </w:r>
      <w:r w:rsidR="001754DF">
        <w:t xml:space="preserve"> i projekta Zaželi – „</w:t>
      </w:r>
      <w:proofErr w:type="spellStart"/>
      <w:r w:rsidR="001754DF">
        <w:t>Trojačke</w:t>
      </w:r>
      <w:proofErr w:type="spellEnd"/>
      <w:r w:rsidR="001754DF">
        <w:t xml:space="preserve"> ruže“ faza III</w:t>
      </w:r>
      <w:r>
        <w:t xml:space="preserve"> u iznosu </w:t>
      </w:r>
      <w:r w:rsidR="001754DF">
        <w:t>149.385,59</w:t>
      </w:r>
      <w:r w:rsidR="00AF5039">
        <w:t xml:space="preserve"> kn</w:t>
      </w:r>
    </w:p>
    <w:p w:rsidR="000403DF" w:rsidRDefault="000403DF" w:rsidP="000403DF">
      <w:pPr>
        <w:numPr>
          <w:ilvl w:val="1"/>
          <w:numId w:val="15"/>
        </w:numPr>
      </w:pPr>
      <w:r>
        <w:t xml:space="preserve">Obveza za materijalne rashode </w:t>
      </w:r>
      <w:r w:rsidR="00AF5039">
        <w:t xml:space="preserve">u iznosu od </w:t>
      </w:r>
      <w:r w:rsidR="001754DF">
        <w:t>131.745,52</w:t>
      </w:r>
      <w:r w:rsidR="001D48A4">
        <w:t xml:space="preserve"> </w:t>
      </w:r>
      <w:r w:rsidR="00AF5039">
        <w:t>kn</w:t>
      </w:r>
    </w:p>
    <w:p w:rsidR="000403DF" w:rsidRDefault="000403DF" w:rsidP="000403DF">
      <w:pPr>
        <w:numPr>
          <w:ilvl w:val="1"/>
          <w:numId w:val="15"/>
        </w:numPr>
      </w:pPr>
      <w:r>
        <w:t xml:space="preserve">Obveze za financijske rashode u iznosu </w:t>
      </w:r>
      <w:r w:rsidR="001754DF">
        <w:t>2.423,83</w:t>
      </w:r>
      <w:r w:rsidR="00AF5039">
        <w:t xml:space="preserve"> kn</w:t>
      </w:r>
    </w:p>
    <w:p w:rsidR="001754DF" w:rsidRDefault="001754DF" w:rsidP="000403DF">
      <w:pPr>
        <w:numPr>
          <w:ilvl w:val="1"/>
          <w:numId w:val="15"/>
        </w:numPr>
      </w:pPr>
      <w:r>
        <w:t>Obveze za naknade građanima i kućanstvima 11.792,23 kn</w:t>
      </w:r>
    </w:p>
    <w:p w:rsidR="000403DF" w:rsidRDefault="000403DF" w:rsidP="000403DF">
      <w:pPr>
        <w:numPr>
          <w:ilvl w:val="1"/>
          <w:numId w:val="15"/>
        </w:numPr>
      </w:pPr>
      <w:r>
        <w:t xml:space="preserve">Ostale tekuće obveze u iznosu </w:t>
      </w:r>
      <w:r w:rsidR="001754DF">
        <w:t>292.020,44</w:t>
      </w:r>
      <w:r w:rsidR="00AF5039">
        <w:t xml:space="preserve"> kn</w:t>
      </w:r>
    </w:p>
    <w:p w:rsidR="001D48A4" w:rsidRDefault="001D48A4" w:rsidP="000403DF">
      <w:pPr>
        <w:numPr>
          <w:ilvl w:val="1"/>
          <w:numId w:val="15"/>
        </w:numPr>
      </w:pPr>
      <w:r>
        <w:t xml:space="preserve">Obveze za nabavu nefinancijske imovine </w:t>
      </w:r>
      <w:r w:rsidR="001754DF">
        <w:t>138.608,44</w:t>
      </w:r>
      <w:r>
        <w:t xml:space="preserve"> kn</w:t>
      </w:r>
    </w:p>
    <w:p w:rsidR="000403DF" w:rsidRPr="001754DF" w:rsidRDefault="000403DF" w:rsidP="000403DF">
      <w:pPr>
        <w:rPr>
          <w:sz w:val="18"/>
        </w:rPr>
      </w:pPr>
    </w:p>
    <w:p w:rsidR="0045041E" w:rsidRDefault="0045041E"/>
    <w:p w:rsidR="0045041E" w:rsidRDefault="0045041E">
      <w:r>
        <w:t xml:space="preserve">U Velikom Trojstvu, dana </w:t>
      </w:r>
      <w:r w:rsidR="00794645">
        <w:t>1</w:t>
      </w:r>
      <w:r w:rsidR="009D0529">
        <w:t>3</w:t>
      </w:r>
      <w:r>
        <w:t xml:space="preserve">. </w:t>
      </w:r>
      <w:r w:rsidR="00794645">
        <w:t>veljače</w:t>
      </w:r>
      <w:r>
        <w:t xml:space="preserve"> 202</w:t>
      </w:r>
      <w:r w:rsidR="009D0529">
        <w:t>3</w:t>
      </w:r>
      <w:r>
        <w:t>.</w:t>
      </w:r>
    </w:p>
    <w:p w:rsidR="0045041E" w:rsidRDefault="0045041E"/>
    <w:p w:rsidR="0045041E" w:rsidRPr="0045041E" w:rsidRDefault="0045041E">
      <w:pPr>
        <w:rPr>
          <w:sz w:val="22"/>
        </w:rPr>
      </w:pPr>
      <w:r w:rsidRPr="0045041E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4002267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9685" b="1397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45" w:rsidRDefault="008A3D45" w:rsidP="0045041E">
                            <w:pPr>
                              <w:jc w:val="center"/>
                            </w:pPr>
                            <w:r>
                              <w:t>Općinski načelnik</w:t>
                            </w:r>
                            <w:r>
                              <w:br/>
                              <w:t>Općine Veliko Trojstvo</w:t>
                            </w:r>
                          </w:p>
                          <w:p w:rsidR="008A3D45" w:rsidRDefault="008A3D45" w:rsidP="0045041E">
                            <w:pPr>
                              <w:jc w:val="center"/>
                            </w:pPr>
                          </w:p>
                          <w:p w:rsidR="008A3D45" w:rsidRDefault="008A3D45" w:rsidP="0045041E">
                            <w:pPr>
                              <w:jc w:val="center"/>
                            </w:pPr>
                            <w:r>
                              <w:t xml:space="preserve">Marko </w:t>
                            </w:r>
                            <w:proofErr w:type="spellStart"/>
                            <w:r>
                              <w:t>Kutanjac</w:t>
                            </w:r>
                            <w:proofErr w:type="spellEnd"/>
                            <w:r>
                              <w:t>, v.r.</w:t>
                            </w:r>
                          </w:p>
                          <w:p w:rsidR="008A3D45" w:rsidRDefault="008A3D45" w:rsidP="00450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15.1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" strokecolor="white [3212]">
                <v:textbox style="mso-fit-shape-to-text:t">
                  <w:txbxContent>
                    <w:p w:rsidR="008A3D45" w:rsidRDefault="008A3D45" w:rsidP="0045041E">
                      <w:pPr>
                        <w:jc w:val="center"/>
                      </w:pPr>
                      <w:r>
                        <w:t>Općinski načelnik</w:t>
                      </w:r>
                      <w:r>
                        <w:br/>
                        <w:t>Općine Veliko Trojstvo</w:t>
                      </w:r>
                    </w:p>
                    <w:p w:rsidR="008A3D45" w:rsidRDefault="008A3D45" w:rsidP="0045041E">
                      <w:pPr>
                        <w:jc w:val="center"/>
                      </w:pPr>
                    </w:p>
                    <w:p w:rsidR="008A3D45" w:rsidRDefault="008A3D45" w:rsidP="0045041E">
                      <w:pPr>
                        <w:jc w:val="center"/>
                      </w:pPr>
                      <w:r>
                        <w:t xml:space="preserve">Marko </w:t>
                      </w:r>
                      <w:proofErr w:type="spellStart"/>
                      <w:r>
                        <w:t>Kutanjac</w:t>
                      </w:r>
                      <w:proofErr w:type="spellEnd"/>
                      <w:r>
                        <w:t>, v.r.</w:t>
                      </w:r>
                    </w:p>
                    <w:p w:rsidR="008A3D45" w:rsidRDefault="008A3D45" w:rsidP="00450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5041E">
        <w:rPr>
          <w:sz w:val="22"/>
        </w:rPr>
        <w:t>Osoba za kontaktiranje: MATEA MILOŠ</w:t>
      </w:r>
    </w:p>
    <w:p w:rsidR="0045041E" w:rsidRPr="0045041E" w:rsidRDefault="0045041E">
      <w:pPr>
        <w:rPr>
          <w:sz w:val="22"/>
        </w:rPr>
      </w:pPr>
      <w:r w:rsidRPr="0045041E">
        <w:rPr>
          <w:sz w:val="22"/>
        </w:rPr>
        <w:t>Telefon za kontakt: 043</w:t>
      </w:r>
      <w:r w:rsidR="00461DC0">
        <w:rPr>
          <w:sz w:val="22"/>
        </w:rPr>
        <w:t>/</w:t>
      </w:r>
      <w:r w:rsidRPr="0045041E">
        <w:rPr>
          <w:sz w:val="22"/>
        </w:rPr>
        <w:t>885</w:t>
      </w:r>
      <w:r w:rsidR="00461DC0">
        <w:rPr>
          <w:sz w:val="22"/>
        </w:rPr>
        <w:t>-</w:t>
      </w:r>
      <w:r w:rsidRPr="0045041E">
        <w:rPr>
          <w:sz w:val="22"/>
        </w:rPr>
        <w:t>009</w:t>
      </w:r>
    </w:p>
    <w:p w:rsidR="0045041E" w:rsidRPr="00327160" w:rsidRDefault="0045041E">
      <w:r w:rsidRPr="0045041E">
        <w:rPr>
          <w:sz w:val="22"/>
        </w:rPr>
        <w:t xml:space="preserve">Odgovorna osoba: </w:t>
      </w:r>
      <w:r w:rsidR="00794645">
        <w:rPr>
          <w:sz w:val="22"/>
        </w:rPr>
        <w:t>MARKO KUTANJAC</w:t>
      </w:r>
    </w:p>
    <w:sectPr w:rsidR="0045041E" w:rsidRPr="00327160" w:rsidSect="00881D87">
      <w:headerReference w:type="default" r:id="rId8"/>
      <w:pgSz w:w="11906" w:h="16838"/>
      <w:pgMar w:top="1417" w:right="1417" w:bottom="1417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1F" w:rsidRDefault="000A241F" w:rsidP="00327160">
      <w:r>
        <w:separator/>
      </w:r>
    </w:p>
  </w:endnote>
  <w:endnote w:type="continuationSeparator" w:id="0">
    <w:p w:rsidR="000A241F" w:rsidRDefault="000A241F" w:rsidP="0032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1F" w:rsidRDefault="000A241F" w:rsidP="00327160">
      <w:r>
        <w:separator/>
      </w:r>
    </w:p>
  </w:footnote>
  <w:footnote w:type="continuationSeparator" w:id="0">
    <w:p w:rsidR="000A241F" w:rsidRDefault="000A241F" w:rsidP="0032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5" w:rsidRDefault="008A3D45" w:rsidP="0032716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38E51152" wp14:editId="46D63C06">
          <wp:simplePos x="0" y="0"/>
          <wp:positionH relativeFrom="column">
            <wp:posOffset>-128905</wp:posOffset>
          </wp:positionH>
          <wp:positionV relativeFrom="paragraph">
            <wp:posOffset>-290195</wp:posOffset>
          </wp:positionV>
          <wp:extent cx="612140" cy="794385"/>
          <wp:effectExtent l="0" t="0" r="0" b="571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985BA" wp14:editId="051BF85B">
              <wp:simplePos x="0" y="0"/>
              <wp:positionH relativeFrom="column">
                <wp:posOffset>732790</wp:posOffset>
              </wp:positionH>
              <wp:positionV relativeFrom="paragraph">
                <wp:posOffset>-285750</wp:posOffset>
              </wp:positionV>
              <wp:extent cx="4886325" cy="1316355"/>
              <wp:effectExtent l="0" t="0" r="9525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316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D45" w:rsidRDefault="008A3D45" w:rsidP="00CD7BF8">
                          <w:pPr>
                            <w:jc w:val="left"/>
                          </w:pPr>
                          <w:r>
                            <w:t>RKP: 35669</w:t>
                          </w:r>
                        </w:p>
                        <w:p w:rsidR="008A3D45" w:rsidRDefault="008A3D45" w:rsidP="00CD7BF8">
                          <w:pPr>
                            <w:jc w:val="left"/>
                          </w:pPr>
                          <w:r>
                            <w:t>Naziv: Općina Veliko Trojstvo</w:t>
                          </w:r>
                        </w:p>
                        <w:p w:rsidR="008A3D45" w:rsidRDefault="008A3D45" w:rsidP="00CD7BF8">
                          <w:pPr>
                            <w:jc w:val="left"/>
                          </w:pPr>
                          <w:r>
                            <w:t>Razina 22, Razdjel:000</w:t>
                          </w:r>
                          <w:r>
                            <w:br/>
                            <w:t>Djelatnost: 8411 Opće djelatnosti javne uprave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7" type="#_x0000_t202" style="position:absolute;left:0;text-align:left;margin-left:57.7pt;margin-top:-22.5pt;width:384.7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" stroked="f">
              <v:textbox>
                <w:txbxContent>
                  <w:p w:rsidR="008A3D45" w:rsidRDefault="008A3D45" w:rsidP="00CD7BF8">
                    <w:pPr>
                      <w:jc w:val="left"/>
                    </w:pPr>
                    <w:r>
                      <w:t>RKP: 35669</w:t>
                    </w:r>
                  </w:p>
                  <w:p w:rsidR="008A3D45" w:rsidRDefault="008A3D45" w:rsidP="00CD7BF8">
                    <w:pPr>
                      <w:jc w:val="left"/>
                    </w:pPr>
                    <w:r>
                      <w:t>Naziv: Općina Veliko Trojstvo</w:t>
                    </w:r>
                  </w:p>
                  <w:p w:rsidR="008A3D45" w:rsidRDefault="008A3D45" w:rsidP="00CD7BF8">
                    <w:pPr>
                      <w:jc w:val="left"/>
                    </w:pPr>
                    <w:r>
                      <w:t>Razina 22, Razdjel:000</w:t>
                    </w:r>
                    <w:r>
                      <w:br/>
                      <w:t>Djelatnost: 8411 Opće djelatnosti javne uprave</w:t>
                    </w:r>
                  </w:p>
                </w:txbxContent>
              </v:textbox>
            </v:shape>
          </w:pict>
        </mc:Fallback>
      </mc:AlternateContent>
    </w:r>
  </w:p>
  <w:p w:rsidR="008A3D45" w:rsidRDefault="008A3D45" w:rsidP="00327160">
    <w:pPr>
      <w:pStyle w:val="Zaglavlje"/>
    </w:pPr>
  </w:p>
  <w:p w:rsidR="008A3D45" w:rsidRDefault="008A3D45" w:rsidP="00327160">
    <w:pPr>
      <w:pStyle w:val="Zaglavlje"/>
    </w:pPr>
  </w:p>
  <w:p w:rsidR="008A3D45" w:rsidRDefault="008A3D45">
    <w:pPr>
      <w:pStyle w:val="Zaglavlje"/>
    </w:pPr>
  </w:p>
  <w:p w:rsidR="008A3D45" w:rsidRDefault="008A3D4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5A"/>
    <w:multiLevelType w:val="hybridMultilevel"/>
    <w:tmpl w:val="0BCE2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0FB1"/>
    <w:multiLevelType w:val="hybridMultilevel"/>
    <w:tmpl w:val="A1AE1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406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2C6E"/>
    <w:multiLevelType w:val="hybridMultilevel"/>
    <w:tmpl w:val="FCBC77DA"/>
    <w:lvl w:ilvl="0" w:tplc="CFD25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101E8"/>
    <w:multiLevelType w:val="hybridMultilevel"/>
    <w:tmpl w:val="8CFAD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0A2F"/>
    <w:multiLevelType w:val="hybridMultilevel"/>
    <w:tmpl w:val="A6300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E7959"/>
    <w:multiLevelType w:val="hybridMultilevel"/>
    <w:tmpl w:val="5B46088A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0DE038A"/>
    <w:multiLevelType w:val="hybridMultilevel"/>
    <w:tmpl w:val="571AE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0FC7"/>
    <w:multiLevelType w:val="hybridMultilevel"/>
    <w:tmpl w:val="949806E0"/>
    <w:lvl w:ilvl="0" w:tplc="7AA6C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31FF7"/>
    <w:multiLevelType w:val="hybridMultilevel"/>
    <w:tmpl w:val="523AE086"/>
    <w:lvl w:ilvl="0" w:tplc="E39A3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474B1B"/>
    <w:multiLevelType w:val="hybridMultilevel"/>
    <w:tmpl w:val="9426F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1220E"/>
    <w:multiLevelType w:val="hybridMultilevel"/>
    <w:tmpl w:val="ACBE9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C77D2"/>
    <w:multiLevelType w:val="hybridMultilevel"/>
    <w:tmpl w:val="165C2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73F7B"/>
    <w:multiLevelType w:val="hybridMultilevel"/>
    <w:tmpl w:val="3188B5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3D16"/>
    <w:multiLevelType w:val="hybridMultilevel"/>
    <w:tmpl w:val="E788E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005AE"/>
    <w:multiLevelType w:val="hybridMultilevel"/>
    <w:tmpl w:val="30CC6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D67C4"/>
    <w:multiLevelType w:val="hybridMultilevel"/>
    <w:tmpl w:val="D3BEB606"/>
    <w:lvl w:ilvl="0" w:tplc="E8CEE2D2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6A93C4E"/>
    <w:multiLevelType w:val="hybridMultilevel"/>
    <w:tmpl w:val="DFFEC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B7662"/>
    <w:multiLevelType w:val="hybridMultilevel"/>
    <w:tmpl w:val="A6467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130E0"/>
    <w:multiLevelType w:val="hybridMultilevel"/>
    <w:tmpl w:val="824C0824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9">
    <w:nsid w:val="723C42C0"/>
    <w:multiLevelType w:val="hybridMultilevel"/>
    <w:tmpl w:val="571AE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  <w:num w:numId="16">
    <w:abstractNumId w:val="15"/>
  </w:num>
  <w:num w:numId="17">
    <w:abstractNumId w:val="19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F8"/>
    <w:rsid w:val="000022ED"/>
    <w:rsid w:val="000066A5"/>
    <w:rsid w:val="000078A1"/>
    <w:rsid w:val="00010ACA"/>
    <w:rsid w:val="00036E14"/>
    <w:rsid w:val="000403DF"/>
    <w:rsid w:val="00041815"/>
    <w:rsid w:val="00044A04"/>
    <w:rsid w:val="00044C89"/>
    <w:rsid w:val="00056489"/>
    <w:rsid w:val="00060986"/>
    <w:rsid w:val="000619AB"/>
    <w:rsid w:val="000671ED"/>
    <w:rsid w:val="00074CA5"/>
    <w:rsid w:val="00093C4B"/>
    <w:rsid w:val="00093DB2"/>
    <w:rsid w:val="000A241F"/>
    <w:rsid w:val="000A31B6"/>
    <w:rsid w:val="000D2782"/>
    <w:rsid w:val="000F6C59"/>
    <w:rsid w:val="00115385"/>
    <w:rsid w:val="00131313"/>
    <w:rsid w:val="00166747"/>
    <w:rsid w:val="001747B2"/>
    <w:rsid w:val="00174D7A"/>
    <w:rsid w:val="00175229"/>
    <w:rsid w:val="001754DF"/>
    <w:rsid w:val="0018096E"/>
    <w:rsid w:val="001927DB"/>
    <w:rsid w:val="001B2504"/>
    <w:rsid w:val="001B2A2E"/>
    <w:rsid w:val="001C4E25"/>
    <w:rsid w:val="001D1D51"/>
    <w:rsid w:val="001D48A4"/>
    <w:rsid w:val="001D651B"/>
    <w:rsid w:val="001E390D"/>
    <w:rsid w:val="001E5FC9"/>
    <w:rsid w:val="001F1C12"/>
    <w:rsid w:val="00214C94"/>
    <w:rsid w:val="00242163"/>
    <w:rsid w:val="002A3206"/>
    <w:rsid w:val="002A6338"/>
    <w:rsid w:val="002A71A8"/>
    <w:rsid w:val="003006BD"/>
    <w:rsid w:val="00317783"/>
    <w:rsid w:val="00327160"/>
    <w:rsid w:val="00373627"/>
    <w:rsid w:val="00382198"/>
    <w:rsid w:val="003A4D01"/>
    <w:rsid w:val="003F1D81"/>
    <w:rsid w:val="003F70A3"/>
    <w:rsid w:val="0040107D"/>
    <w:rsid w:val="004123EA"/>
    <w:rsid w:val="0042368A"/>
    <w:rsid w:val="00433FDD"/>
    <w:rsid w:val="00442908"/>
    <w:rsid w:val="00445908"/>
    <w:rsid w:val="0045041E"/>
    <w:rsid w:val="00461DC0"/>
    <w:rsid w:val="00465A1D"/>
    <w:rsid w:val="00475819"/>
    <w:rsid w:val="004838C6"/>
    <w:rsid w:val="00497A83"/>
    <w:rsid w:val="004C6D85"/>
    <w:rsid w:val="004D1AF7"/>
    <w:rsid w:val="00500778"/>
    <w:rsid w:val="00525694"/>
    <w:rsid w:val="00532168"/>
    <w:rsid w:val="00592D88"/>
    <w:rsid w:val="005C2DCD"/>
    <w:rsid w:val="005D56D3"/>
    <w:rsid w:val="005E0D71"/>
    <w:rsid w:val="005F6E24"/>
    <w:rsid w:val="00653CC1"/>
    <w:rsid w:val="006546BD"/>
    <w:rsid w:val="00672D62"/>
    <w:rsid w:val="00681AD5"/>
    <w:rsid w:val="00694A3D"/>
    <w:rsid w:val="006D293C"/>
    <w:rsid w:val="006E3EEE"/>
    <w:rsid w:val="006E4852"/>
    <w:rsid w:val="006E71C6"/>
    <w:rsid w:val="0070232A"/>
    <w:rsid w:val="0071310B"/>
    <w:rsid w:val="00733F1D"/>
    <w:rsid w:val="007352E8"/>
    <w:rsid w:val="00791FEA"/>
    <w:rsid w:val="00794645"/>
    <w:rsid w:val="007E3181"/>
    <w:rsid w:val="007F1C69"/>
    <w:rsid w:val="0080008C"/>
    <w:rsid w:val="00812B8C"/>
    <w:rsid w:val="00813314"/>
    <w:rsid w:val="00853BAF"/>
    <w:rsid w:val="00854AD7"/>
    <w:rsid w:val="00866184"/>
    <w:rsid w:val="00881D87"/>
    <w:rsid w:val="00890BD3"/>
    <w:rsid w:val="00896092"/>
    <w:rsid w:val="008A3D45"/>
    <w:rsid w:val="008A5AB9"/>
    <w:rsid w:val="008B096B"/>
    <w:rsid w:val="008D02E8"/>
    <w:rsid w:val="008F478F"/>
    <w:rsid w:val="008F6F3B"/>
    <w:rsid w:val="00900EE8"/>
    <w:rsid w:val="00901BE6"/>
    <w:rsid w:val="00911C65"/>
    <w:rsid w:val="00917A5C"/>
    <w:rsid w:val="009609F3"/>
    <w:rsid w:val="00984B51"/>
    <w:rsid w:val="00995713"/>
    <w:rsid w:val="009C3C14"/>
    <w:rsid w:val="009D0529"/>
    <w:rsid w:val="009E412F"/>
    <w:rsid w:val="00A023DC"/>
    <w:rsid w:val="00A06AB5"/>
    <w:rsid w:val="00A115A0"/>
    <w:rsid w:val="00A15295"/>
    <w:rsid w:val="00A24873"/>
    <w:rsid w:val="00A67490"/>
    <w:rsid w:val="00A743BD"/>
    <w:rsid w:val="00A95194"/>
    <w:rsid w:val="00AB1BDF"/>
    <w:rsid w:val="00AC1175"/>
    <w:rsid w:val="00AC19FF"/>
    <w:rsid w:val="00AC3BDF"/>
    <w:rsid w:val="00AC69A1"/>
    <w:rsid w:val="00AD5652"/>
    <w:rsid w:val="00AD770E"/>
    <w:rsid w:val="00AF5039"/>
    <w:rsid w:val="00B26A6D"/>
    <w:rsid w:val="00B4621F"/>
    <w:rsid w:val="00B46E7B"/>
    <w:rsid w:val="00B540E3"/>
    <w:rsid w:val="00B86D8D"/>
    <w:rsid w:val="00BA4F2A"/>
    <w:rsid w:val="00BF2392"/>
    <w:rsid w:val="00BF26CD"/>
    <w:rsid w:val="00C15342"/>
    <w:rsid w:val="00C53FF8"/>
    <w:rsid w:val="00C61610"/>
    <w:rsid w:val="00CD372F"/>
    <w:rsid w:val="00CD3F2A"/>
    <w:rsid w:val="00CD7BF8"/>
    <w:rsid w:val="00CE27C6"/>
    <w:rsid w:val="00CE786C"/>
    <w:rsid w:val="00CF2A86"/>
    <w:rsid w:val="00CF5B24"/>
    <w:rsid w:val="00D01CD4"/>
    <w:rsid w:val="00D0380C"/>
    <w:rsid w:val="00D44D5E"/>
    <w:rsid w:val="00D53ADB"/>
    <w:rsid w:val="00D642F2"/>
    <w:rsid w:val="00D8041E"/>
    <w:rsid w:val="00D94800"/>
    <w:rsid w:val="00DA5A12"/>
    <w:rsid w:val="00DA5FCF"/>
    <w:rsid w:val="00DD0C79"/>
    <w:rsid w:val="00DD228E"/>
    <w:rsid w:val="00DD6639"/>
    <w:rsid w:val="00DF6967"/>
    <w:rsid w:val="00E01353"/>
    <w:rsid w:val="00E05AAA"/>
    <w:rsid w:val="00E05DA1"/>
    <w:rsid w:val="00E1439D"/>
    <w:rsid w:val="00E34E92"/>
    <w:rsid w:val="00E63AB1"/>
    <w:rsid w:val="00E6488A"/>
    <w:rsid w:val="00E65283"/>
    <w:rsid w:val="00E722B9"/>
    <w:rsid w:val="00E851A3"/>
    <w:rsid w:val="00EA0DC4"/>
    <w:rsid w:val="00EA4679"/>
    <w:rsid w:val="00EE6ED6"/>
    <w:rsid w:val="00EF7FC6"/>
    <w:rsid w:val="00F003B4"/>
    <w:rsid w:val="00F250BA"/>
    <w:rsid w:val="00F73E02"/>
    <w:rsid w:val="00FA01AF"/>
    <w:rsid w:val="00FA1AA5"/>
    <w:rsid w:val="00FB655E"/>
    <w:rsid w:val="00FC16E3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FB655E"/>
    <w:pPr>
      <w:keepNext/>
      <w:outlineLvl w:val="6"/>
    </w:pPr>
    <w:rPr>
      <w:rFonts w:ascii="Courier New" w:hAnsi="Courier New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271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27160"/>
  </w:style>
  <w:style w:type="paragraph" w:styleId="Podnoje">
    <w:name w:val="footer"/>
    <w:basedOn w:val="Normal"/>
    <w:link w:val="PodnojeChar"/>
    <w:unhideWhenUsed/>
    <w:rsid w:val="003271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7160"/>
  </w:style>
  <w:style w:type="character" w:styleId="Hiperveza">
    <w:name w:val="Hyperlink"/>
    <w:rsid w:val="0032716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1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16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327160"/>
    <w:pPr>
      <w:ind w:left="720"/>
      <w:contextualSpacing/>
    </w:pPr>
  </w:style>
  <w:style w:type="paragraph" w:styleId="Bezproreda">
    <w:name w:val="No Spacing"/>
    <w:uiPriority w:val="1"/>
    <w:qFormat/>
    <w:rsid w:val="008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46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2-Isticanje3">
    <w:name w:val="Medium List 2 Accent 3"/>
    <w:basedOn w:val="Obinatablica"/>
    <w:uiPriority w:val="66"/>
    <w:rsid w:val="00E143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slov7Char">
    <w:name w:val="Naslov 7 Char"/>
    <w:basedOn w:val="Zadanifontodlomka"/>
    <w:link w:val="Naslov7"/>
    <w:rsid w:val="00FB655E"/>
    <w:rPr>
      <w:rFonts w:ascii="Courier New" w:eastAsia="Times New Roman" w:hAnsi="Courier New" w:cs="Times New Roman"/>
      <w:b/>
      <w:sz w:val="28"/>
      <w:szCs w:val="20"/>
    </w:rPr>
  </w:style>
  <w:style w:type="paragraph" w:customStyle="1" w:styleId="t-9-8">
    <w:name w:val="t-9-8"/>
    <w:basedOn w:val="Normal"/>
    <w:rsid w:val="0071310B"/>
    <w:pPr>
      <w:spacing w:before="100" w:beforeAutospacing="1" w:after="100" w:afterAutospacing="1"/>
    </w:pPr>
    <w:rPr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31B6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Sadraj">
    <w:name w:val="Sadržaj"/>
    <w:basedOn w:val="Normal"/>
    <w:link w:val="Znaksadraja"/>
    <w:qFormat/>
    <w:rsid w:val="008D02E8"/>
    <w:pPr>
      <w:spacing w:line="276" w:lineRule="auto"/>
    </w:pPr>
    <w:rPr>
      <w:rFonts w:eastAsiaTheme="minorEastAsia" w:cstheme="minorBidi"/>
      <w:color w:val="1F497D" w:themeColor="text2"/>
      <w:szCs w:val="22"/>
    </w:rPr>
  </w:style>
  <w:style w:type="character" w:customStyle="1" w:styleId="Znaksadraja">
    <w:name w:val="Znak sadržaja"/>
    <w:basedOn w:val="Zadanifontodlomka"/>
    <w:link w:val="Sadraj"/>
    <w:rsid w:val="008D02E8"/>
    <w:rPr>
      <w:rFonts w:ascii="Times New Roman" w:eastAsiaTheme="minorEastAsia" w:hAnsi="Times New Roman"/>
      <w:color w:val="1F497D" w:themeColor="text2"/>
      <w:sz w:val="24"/>
    </w:rPr>
  </w:style>
  <w:style w:type="table" w:customStyle="1" w:styleId="ivopisnatablicareetke7-isticanje31">
    <w:name w:val="Živopisna tablica rešetke 7 - isticanje 31"/>
    <w:basedOn w:val="Obinatablica"/>
    <w:uiPriority w:val="52"/>
    <w:rsid w:val="008D02E8"/>
    <w:pPr>
      <w:spacing w:after="0" w:line="240" w:lineRule="auto"/>
    </w:pPr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FB655E"/>
    <w:pPr>
      <w:keepNext/>
      <w:outlineLvl w:val="6"/>
    </w:pPr>
    <w:rPr>
      <w:rFonts w:ascii="Courier New" w:hAnsi="Courier New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271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27160"/>
  </w:style>
  <w:style w:type="paragraph" w:styleId="Podnoje">
    <w:name w:val="footer"/>
    <w:basedOn w:val="Normal"/>
    <w:link w:val="PodnojeChar"/>
    <w:unhideWhenUsed/>
    <w:rsid w:val="003271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27160"/>
  </w:style>
  <w:style w:type="character" w:styleId="Hiperveza">
    <w:name w:val="Hyperlink"/>
    <w:rsid w:val="0032716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1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16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327160"/>
    <w:pPr>
      <w:ind w:left="720"/>
      <w:contextualSpacing/>
    </w:pPr>
  </w:style>
  <w:style w:type="paragraph" w:styleId="Bezproreda">
    <w:name w:val="No Spacing"/>
    <w:uiPriority w:val="1"/>
    <w:qFormat/>
    <w:rsid w:val="008A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59"/>
    <w:rsid w:val="0046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2-Isticanje3">
    <w:name w:val="Medium List 2 Accent 3"/>
    <w:basedOn w:val="Obinatablica"/>
    <w:uiPriority w:val="66"/>
    <w:rsid w:val="00E143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slov7Char">
    <w:name w:val="Naslov 7 Char"/>
    <w:basedOn w:val="Zadanifontodlomka"/>
    <w:link w:val="Naslov7"/>
    <w:rsid w:val="00FB655E"/>
    <w:rPr>
      <w:rFonts w:ascii="Courier New" w:eastAsia="Times New Roman" w:hAnsi="Courier New" w:cs="Times New Roman"/>
      <w:b/>
      <w:sz w:val="28"/>
      <w:szCs w:val="20"/>
    </w:rPr>
  </w:style>
  <w:style w:type="paragraph" w:customStyle="1" w:styleId="t-9-8">
    <w:name w:val="t-9-8"/>
    <w:basedOn w:val="Normal"/>
    <w:rsid w:val="0071310B"/>
    <w:pPr>
      <w:spacing w:before="100" w:beforeAutospacing="1" w:after="100" w:afterAutospacing="1"/>
    </w:pPr>
    <w:rPr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31B6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Sadraj">
    <w:name w:val="Sadržaj"/>
    <w:basedOn w:val="Normal"/>
    <w:link w:val="Znaksadraja"/>
    <w:qFormat/>
    <w:rsid w:val="008D02E8"/>
    <w:pPr>
      <w:spacing w:line="276" w:lineRule="auto"/>
    </w:pPr>
    <w:rPr>
      <w:rFonts w:eastAsiaTheme="minorEastAsia" w:cstheme="minorBidi"/>
      <w:color w:val="1F497D" w:themeColor="text2"/>
      <w:szCs w:val="22"/>
    </w:rPr>
  </w:style>
  <w:style w:type="character" w:customStyle="1" w:styleId="Znaksadraja">
    <w:name w:val="Znak sadržaja"/>
    <w:basedOn w:val="Zadanifontodlomka"/>
    <w:link w:val="Sadraj"/>
    <w:rsid w:val="008D02E8"/>
    <w:rPr>
      <w:rFonts w:ascii="Times New Roman" w:eastAsiaTheme="minorEastAsia" w:hAnsi="Times New Roman"/>
      <w:color w:val="1F497D" w:themeColor="text2"/>
      <w:sz w:val="24"/>
    </w:rPr>
  </w:style>
  <w:style w:type="table" w:customStyle="1" w:styleId="ivopisnatablicareetke7-isticanje31">
    <w:name w:val="Živopisna tablica rešetke 7 - isticanje 31"/>
    <w:basedOn w:val="Obinatablica"/>
    <w:uiPriority w:val="52"/>
    <w:rsid w:val="008D02E8"/>
    <w:pPr>
      <w:spacing w:after="0" w:line="240" w:lineRule="auto"/>
    </w:pPr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15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2022-01-20T11:42:00Z</dcterms:created>
  <dcterms:modified xsi:type="dcterms:W3CDTF">2023-02-14T06:32:00Z</dcterms:modified>
</cp:coreProperties>
</file>